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6F1B6" w14:textId="77777777" w:rsidR="005C3737" w:rsidRDefault="005C3737" w:rsidP="005C3737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AECAD7D" w14:textId="77777777" w:rsidR="005C3737" w:rsidRDefault="005C3737" w:rsidP="005C3737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52C821A" w14:textId="77777777" w:rsidR="005C3737" w:rsidRDefault="005C3737" w:rsidP="005C3737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1E42BB2" w14:textId="77777777" w:rsidR="005C3737" w:rsidRDefault="005C3737" w:rsidP="005C3737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3EB9EFB4" w14:textId="77777777" w:rsidR="005C3737" w:rsidRDefault="005C3737" w:rsidP="005C3737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3014574" w14:textId="096D3C96" w:rsidR="005D0F6B" w:rsidRPr="004735EE" w:rsidRDefault="005D0F6B" w:rsidP="004735EE">
      <w:pPr>
        <w:jc w:val="center"/>
        <w:rPr>
          <w:rFonts w:asciiTheme="majorHAnsi" w:hAnsiTheme="majorHAnsi" w:cstheme="majorHAnsi"/>
          <w:sz w:val="52"/>
          <w:szCs w:val="52"/>
        </w:rPr>
      </w:pPr>
      <w:r w:rsidRPr="004735EE">
        <w:rPr>
          <w:rFonts w:asciiTheme="majorHAnsi" w:hAnsiTheme="majorHAnsi" w:cstheme="majorHAnsi"/>
          <w:sz w:val="52"/>
          <w:szCs w:val="52"/>
        </w:rPr>
        <w:t>VEJLEDNING ADFÆRDSKODEKSER OG CERTIFICERINGSORDNINGER</w:t>
      </w:r>
    </w:p>
    <w:p w14:paraId="62D2317B" w14:textId="77777777" w:rsidR="005D0F6B" w:rsidRDefault="005D0F6B"/>
    <w:p w14:paraId="34C11A52" w14:textId="77777777" w:rsidR="005D0F6B" w:rsidRDefault="005D0F6B"/>
    <w:p w14:paraId="6F1B9613" w14:textId="77777777" w:rsidR="005D0F6B" w:rsidRDefault="005D0F6B"/>
    <w:p w14:paraId="10595263" w14:textId="77777777" w:rsidR="005D0F6B" w:rsidRDefault="005D0F6B"/>
    <w:p w14:paraId="4DBA60A1" w14:textId="77777777" w:rsidR="005D0F6B" w:rsidRDefault="005D0F6B"/>
    <w:p w14:paraId="0219D0F7" w14:textId="77777777" w:rsidR="005D0F6B" w:rsidRDefault="005D0F6B"/>
    <w:p w14:paraId="33724A5B" w14:textId="77777777" w:rsidR="005D0F6B" w:rsidRDefault="005D0F6B"/>
    <w:p w14:paraId="429B487F" w14:textId="77777777" w:rsidR="005D0F6B" w:rsidRDefault="005D0F6B"/>
    <w:p w14:paraId="5A390CE6" w14:textId="77777777" w:rsidR="005D0F6B" w:rsidRDefault="005D0F6B"/>
    <w:p w14:paraId="59B0A872" w14:textId="77777777" w:rsidR="005D0F6B" w:rsidRDefault="005D0F6B"/>
    <w:p w14:paraId="693B15E6" w14:textId="77777777" w:rsidR="005D0F6B" w:rsidRDefault="005D0F6B"/>
    <w:p w14:paraId="1AC3F565" w14:textId="77777777" w:rsidR="005D0F6B" w:rsidRDefault="005D0F6B"/>
    <w:p w14:paraId="6AA9D930" w14:textId="77777777" w:rsidR="005D0F6B" w:rsidRDefault="005D0F6B"/>
    <w:p w14:paraId="10FDFACE" w14:textId="77777777" w:rsidR="005D0F6B" w:rsidRDefault="005D0F6B"/>
    <w:p w14:paraId="7A8B67AE" w14:textId="77777777" w:rsidR="005D0F6B" w:rsidRDefault="005D0F6B"/>
    <w:p w14:paraId="51157CEA" w14:textId="77777777" w:rsidR="005D0F6B" w:rsidRDefault="005D0F6B"/>
    <w:p w14:paraId="4065FCD7" w14:textId="77777777" w:rsidR="005D0F6B" w:rsidRDefault="005D0F6B"/>
    <w:p w14:paraId="4B894C0A" w14:textId="77777777" w:rsidR="005D0F6B" w:rsidRPr="004E2452" w:rsidRDefault="005D0F6B" w:rsidP="005D0F6B">
      <w:pPr>
        <w:rPr>
          <w:b/>
          <w:sz w:val="24"/>
        </w:rPr>
      </w:pPr>
      <w:r w:rsidRPr="004E2452">
        <w:rPr>
          <w:b/>
          <w:sz w:val="24"/>
        </w:rPr>
        <w:lastRenderedPageBreak/>
        <w:t xml:space="preserve">Adfærdskodekser </w:t>
      </w:r>
    </w:p>
    <w:p w14:paraId="6F7CBFC0" w14:textId="77777777" w:rsidR="005D0F6B" w:rsidRPr="004E2452" w:rsidRDefault="009B690B" w:rsidP="005D0F6B">
      <w:pPr>
        <w:rPr>
          <w:sz w:val="24"/>
          <w:u w:val="single"/>
        </w:rPr>
      </w:pPr>
      <w:r w:rsidRPr="004E2452">
        <w:rPr>
          <w:sz w:val="24"/>
          <w:u w:val="single"/>
        </w:rPr>
        <w:t>Hvad er</w:t>
      </w:r>
      <w:r w:rsidR="00A24799" w:rsidRPr="004E2452">
        <w:rPr>
          <w:sz w:val="24"/>
          <w:u w:val="single"/>
        </w:rPr>
        <w:t xml:space="preserve"> adfærdskodekser</w:t>
      </w:r>
      <w:r w:rsidRPr="004E2452">
        <w:rPr>
          <w:sz w:val="24"/>
          <w:u w:val="single"/>
        </w:rPr>
        <w:t>?</w:t>
      </w:r>
    </w:p>
    <w:p w14:paraId="1FD50B48" w14:textId="30186F4C" w:rsidR="009B690B" w:rsidRPr="004E2452" w:rsidRDefault="00D20F96" w:rsidP="005D0F6B">
      <w:pPr>
        <w:rPr>
          <w:sz w:val="24"/>
        </w:rPr>
      </w:pPr>
      <w:r w:rsidRPr="004E2452">
        <w:rPr>
          <w:sz w:val="24"/>
        </w:rPr>
        <w:t>Et adfærdskodeks er et sæt af retningslinjer, som sikrer, at virksomheder</w:t>
      </w:r>
      <w:r w:rsidR="008175E3">
        <w:rPr>
          <w:sz w:val="24"/>
        </w:rPr>
        <w:t>,</w:t>
      </w:r>
      <w:r w:rsidRPr="004E2452">
        <w:rPr>
          <w:sz w:val="24"/>
        </w:rPr>
        <w:t xml:space="preserve"> </w:t>
      </w:r>
      <w:r w:rsidR="008175E3">
        <w:rPr>
          <w:sz w:val="24"/>
        </w:rPr>
        <w:t xml:space="preserve">der </w:t>
      </w:r>
      <w:r w:rsidRPr="004E2452">
        <w:rPr>
          <w:sz w:val="24"/>
        </w:rPr>
        <w:t xml:space="preserve">tilslutter sig kodekset overholder </w:t>
      </w:r>
      <w:r w:rsidR="002B55E4">
        <w:rPr>
          <w:sz w:val="24"/>
        </w:rPr>
        <w:t>databeskyttelses</w:t>
      </w:r>
      <w:r w:rsidR="002B55E4" w:rsidRPr="004E2452">
        <w:rPr>
          <w:sz w:val="24"/>
        </w:rPr>
        <w:t xml:space="preserve">forordningens </w:t>
      </w:r>
      <w:r w:rsidRPr="004E2452">
        <w:rPr>
          <w:sz w:val="24"/>
        </w:rPr>
        <w:t xml:space="preserve">krav. </w:t>
      </w:r>
    </w:p>
    <w:p w14:paraId="4B1E9D9A" w14:textId="27D4D7B4" w:rsidR="003467E0" w:rsidRPr="004E2452" w:rsidRDefault="003467E0" w:rsidP="005D0F6B">
      <w:pPr>
        <w:rPr>
          <w:sz w:val="24"/>
        </w:rPr>
      </w:pPr>
      <w:r w:rsidRPr="004E2452">
        <w:rPr>
          <w:sz w:val="24"/>
        </w:rPr>
        <w:t>Kodekserne indeholder retningslinjer for</w:t>
      </w:r>
      <w:r w:rsidR="00814494">
        <w:rPr>
          <w:sz w:val="24"/>
        </w:rPr>
        <w:t>,</w:t>
      </w:r>
      <w:r w:rsidRPr="004E2452">
        <w:rPr>
          <w:sz w:val="24"/>
        </w:rPr>
        <w:t xml:space="preserve"> hvordan man i specifikke tilfælde skal håndtere behandlingen af personoplysninger for at overholde kravene i </w:t>
      </w:r>
      <w:r w:rsidR="000E4959">
        <w:rPr>
          <w:sz w:val="24"/>
        </w:rPr>
        <w:t>databeskyttelses</w:t>
      </w:r>
      <w:r w:rsidR="000E4959" w:rsidRPr="004E2452">
        <w:rPr>
          <w:sz w:val="24"/>
        </w:rPr>
        <w:t>forordningen</w:t>
      </w:r>
      <w:r w:rsidRPr="004E2452">
        <w:rPr>
          <w:sz w:val="24"/>
        </w:rPr>
        <w:t>.</w:t>
      </w:r>
    </w:p>
    <w:p w14:paraId="7090EB9E" w14:textId="32894CB0" w:rsidR="003467E0" w:rsidRPr="004E2452" w:rsidRDefault="003467E0" w:rsidP="005D0F6B">
      <w:pPr>
        <w:rPr>
          <w:sz w:val="24"/>
        </w:rPr>
      </w:pPr>
      <w:r w:rsidRPr="004E2452">
        <w:rPr>
          <w:sz w:val="24"/>
        </w:rPr>
        <w:t>De virksomheder eller organisationer</w:t>
      </w:r>
      <w:r w:rsidR="00036E76">
        <w:rPr>
          <w:sz w:val="24"/>
        </w:rPr>
        <w:t>,</w:t>
      </w:r>
      <w:r w:rsidRPr="004E2452">
        <w:rPr>
          <w:sz w:val="24"/>
        </w:rPr>
        <w:t xml:space="preserve"> </w:t>
      </w:r>
      <w:r w:rsidR="008175E3">
        <w:rPr>
          <w:sz w:val="24"/>
        </w:rPr>
        <w:t>der</w:t>
      </w:r>
      <w:r w:rsidR="008175E3" w:rsidRPr="004E2452">
        <w:rPr>
          <w:sz w:val="24"/>
        </w:rPr>
        <w:t xml:space="preserve"> </w:t>
      </w:r>
      <w:r w:rsidRPr="004E2452">
        <w:rPr>
          <w:sz w:val="24"/>
        </w:rPr>
        <w:t xml:space="preserve">tilslutter sig et bestemt kodeks, kan ydermere bruge </w:t>
      </w:r>
      <w:r w:rsidR="002F2453">
        <w:rPr>
          <w:sz w:val="24"/>
        </w:rPr>
        <w:t>dette</w:t>
      </w:r>
      <w:r w:rsidR="002F2453" w:rsidRPr="004E2452">
        <w:rPr>
          <w:sz w:val="24"/>
        </w:rPr>
        <w:t xml:space="preserve"> </w:t>
      </w:r>
      <w:r w:rsidRPr="004E2452">
        <w:rPr>
          <w:sz w:val="24"/>
        </w:rPr>
        <w:t xml:space="preserve">til at dokumentere/påvise, at </w:t>
      </w:r>
      <w:r w:rsidR="00E2436B" w:rsidRPr="004E2452">
        <w:rPr>
          <w:sz w:val="24"/>
        </w:rPr>
        <w:t>der leves op til forpligtigelserne efter forordningen. Dog skal man være opmærksom på, at en tilslutning og en overholdelse af et godkendt adfærdskodeks ikke i sig selv er et bevis på overholdelse af forordningen. Ligeså kan adfærdskodekset ikke fritage den dataansvarlige ansvaret for</w:t>
      </w:r>
      <w:r w:rsidR="00876B5D">
        <w:rPr>
          <w:sz w:val="24"/>
        </w:rPr>
        <w:t>,</w:t>
      </w:r>
      <w:r w:rsidR="00E2436B" w:rsidRPr="004E2452">
        <w:rPr>
          <w:sz w:val="24"/>
        </w:rPr>
        <w:t xml:space="preserve"> at forordningens krav overholdes. </w:t>
      </w:r>
    </w:p>
    <w:p w14:paraId="02AC01F7" w14:textId="77777777" w:rsidR="00A24799" w:rsidRPr="004E2452" w:rsidRDefault="00A24799" w:rsidP="005D0F6B">
      <w:pPr>
        <w:rPr>
          <w:sz w:val="24"/>
        </w:rPr>
      </w:pPr>
      <w:r w:rsidRPr="004E2452">
        <w:rPr>
          <w:sz w:val="24"/>
        </w:rPr>
        <w:t xml:space="preserve">Man er aldrig forpligtiget til at tilslutte sig et adfærdskodeks, og man kan sagtens overholde forordningens krav uden en sådan tilslutning. </w:t>
      </w:r>
    </w:p>
    <w:p w14:paraId="1BD4140F" w14:textId="77777777" w:rsidR="009B690B" w:rsidRPr="004E2452" w:rsidRDefault="009B690B" w:rsidP="005D0F6B">
      <w:pPr>
        <w:rPr>
          <w:sz w:val="24"/>
          <w:u w:val="single"/>
        </w:rPr>
      </w:pPr>
      <w:r w:rsidRPr="004E2452">
        <w:rPr>
          <w:sz w:val="24"/>
          <w:u w:val="single"/>
        </w:rPr>
        <w:t>Hvem</w:t>
      </w:r>
      <w:r w:rsidR="00E2436B" w:rsidRPr="004E2452">
        <w:rPr>
          <w:sz w:val="24"/>
          <w:u w:val="single"/>
        </w:rPr>
        <w:t xml:space="preserve"> kan</w:t>
      </w:r>
      <w:r w:rsidRPr="004E2452">
        <w:rPr>
          <w:sz w:val="24"/>
          <w:u w:val="single"/>
        </w:rPr>
        <w:t xml:space="preserve"> </w:t>
      </w:r>
      <w:r w:rsidR="00E2436B" w:rsidRPr="004E2452">
        <w:rPr>
          <w:sz w:val="24"/>
          <w:u w:val="single"/>
        </w:rPr>
        <w:t>lave adfærdskodekserne</w:t>
      </w:r>
      <w:r w:rsidRPr="004E2452">
        <w:rPr>
          <w:sz w:val="24"/>
          <w:u w:val="single"/>
        </w:rPr>
        <w:t>?</w:t>
      </w:r>
    </w:p>
    <w:p w14:paraId="32124730" w14:textId="1DDE3DC2" w:rsidR="00E2436B" w:rsidRPr="004E2452" w:rsidRDefault="00E2436B" w:rsidP="005D0F6B">
      <w:pPr>
        <w:rPr>
          <w:sz w:val="24"/>
        </w:rPr>
      </w:pPr>
      <w:r w:rsidRPr="004E2452">
        <w:rPr>
          <w:sz w:val="24"/>
        </w:rPr>
        <w:t xml:space="preserve">Efter </w:t>
      </w:r>
      <w:r w:rsidR="000E4959">
        <w:rPr>
          <w:sz w:val="24"/>
        </w:rPr>
        <w:t>databeskyttelses</w:t>
      </w:r>
      <w:r w:rsidR="00167375" w:rsidRPr="004E2452">
        <w:rPr>
          <w:sz w:val="24"/>
        </w:rPr>
        <w:t xml:space="preserve">forordningen </w:t>
      </w:r>
      <w:r w:rsidRPr="004E2452">
        <w:rPr>
          <w:sz w:val="24"/>
        </w:rPr>
        <w:t>er det bestemt</w:t>
      </w:r>
      <w:r w:rsidR="007E44DC">
        <w:rPr>
          <w:sz w:val="24"/>
        </w:rPr>
        <w:t>,</w:t>
      </w:r>
      <w:r w:rsidRPr="004E2452">
        <w:rPr>
          <w:sz w:val="24"/>
        </w:rPr>
        <w:t xml:space="preserve"> at sammenslutninger eller andre organer, der </w:t>
      </w:r>
      <w:r w:rsidR="00A24799" w:rsidRPr="004E2452">
        <w:rPr>
          <w:sz w:val="24"/>
        </w:rPr>
        <w:t>repræsenterer</w:t>
      </w:r>
      <w:r w:rsidRPr="004E2452">
        <w:rPr>
          <w:sz w:val="24"/>
        </w:rPr>
        <w:t xml:space="preserve"> kategorier af dataansvarlige eller </w:t>
      </w:r>
      <w:proofErr w:type="spellStart"/>
      <w:r w:rsidR="00A24799" w:rsidRPr="004E2452">
        <w:rPr>
          <w:sz w:val="24"/>
        </w:rPr>
        <w:t>databehandler</w:t>
      </w:r>
      <w:r w:rsidR="00D44AA3">
        <w:rPr>
          <w:sz w:val="24"/>
        </w:rPr>
        <w:t>e</w:t>
      </w:r>
      <w:proofErr w:type="spellEnd"/>
      <w:r w:rsidR="00A24799" w:rsidRPr="004E2452">
        <w:rPr>
          <w:sz w:val="24"/>
        </w:rPr>
        <w:t>, kan udarbejde adfærdskodekser. Dette kan f.eks. være brancheorganisationer eller andre foreninger</w:t>
      </w:r>
      <w:r w:rsidR="00D44AA3">
        <w:rPr>
          <w:sz w:val="24"/>
        </w:rPr>
        <w:t>.</w:t>
      </w:r>
    </w:p>
    <w:p w14:paraId="0241CEB6" w14:textId="77777777" w:rsidR="009B690B" w:rsidRPr="004E2452" w:rsidRDefault="009B690B" w:rsidP="005D0F6B">
      <w:pPr>
        <w:rPr>
          <w:sz w:val="24"/>
          <w:u w:val="single"/>
        </w:rPr>
      </w:pPr>
      <w:r w:rsidRPr="004E2452">
        <w:rPr>
          <w:sz w:val="24"/>
          <w:u w:val="single"/>
        </w:rPr>
        <w:t>Hvad kan</w:t>
      </w:r>
      <w:r w:rsidR="00A24799" w:rsidRPr="004E2452">
        <w:rPr>
          <w:sz w:val="24"/>
          <w:u w:val="single"/>
        </w:rPr>
        <w:t xml:space="preserve"> adfærdskodekser bruges til?</w:t>
      </w:r>
    </w:p>
    <w:p w14:paraId="31A3E087" w14:textId="584FB9AD" w:rsidR="009B690B" w:rsidRPr="004E2452" w:rsidRDefault="00A24799" w:rsidP="005D0F6B">
      <w:pPr>
        <w:rPr>
          <w:sz w:val="24"/>
        </w:rPr>
      </w:pPr>
      <w:r w:rsidRPr="004E2452">
        <w:rPr>
          <w:sz w:val="24"/>
        </w:rPr>
        <w:t xml:space="preserve">Ifølge </w:t>
      </w:r>
      <w:r w:rsidR="000E4959">
        <w:rPr>
          <w:sz w:val="24"/>
        </w:rPr>
        <w:t>databeskyttelses</w:t>
      </w:r>
      <w:r w:rsidR="00167375" w:rsidRPr="004E2452">
        <w:rPr>
          <w:sz w:val="24"/>
        </w:rPr>
        <w:t>forordningen</w:t>
      </w:r>
      <w:r w:rsidRPr="004E2452">
        <w:rPr>
          <w:sz w:val="24"/>
        </w:rPr>
        <w:t>, kan adfærdskodek</w:t>
      </w:r>
      <w:r w:rsidR="00D44AA3">
        <w:rPr>
          <w:sz w:val="24"/>
        </w:rPr>
        <w:t>s</w:t>
      </w:r>
      <w:r w:rsidRPr="004E2452">
        <w:rPr>
          <w:sz w:val="24"/>
        </w:rPr>
        <w:t xml:space="preserve">er tænkes at specificere anvendelse af en </w:t>
      </w:r>
      <w:r w:rsidR="00D4467D" w:rsidRPr="004E2452">
        <w:rPr>
          <w:sz w:val="24"/>
        </w:rPr>
        <w:t xml:space="preserve">række af forordningens regler. I forordningen nævnes følgende eksempler: </w:t>
      </w:r>
    </w:p>
    <w:p w14:paraId="76E96EAA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 xml:space="preserve">Rimelig og gennemsigtig behandling </w:t>
      </w:r>
    </w:p>
    <w:p w14:paraId="74475582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De legitime interesser, som forfølges af den dataansvarlige i specifikke sammenhænge</w:t>
      </w:r>
    </w:p>
    <w:p w14:paraId="6FA84FD7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Indsamlingen af personoplysninger</w:t>
      </w:r>
    </w:p>
    <w:p w14:paraId="270BCF70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bookmarkStart w:id="0" w:name="_Hlk54005743"/>
      <w:proofErr w:type="spellStart"/>
      <w:r w:rsidRPr="004E2452">
        <w:rPr>
          <w:sz w:val="24"/>
        </w:rPr>
        <w:t>Pseudonymiseringen</w:t>
      </w:r>
      <w:proofErr w:type="spellEnd"/>
      <w:r w:rsidRPr="004E2452">
        <w:rPr>
          <w:sz w:val="24"/>
        </w:rPr>
        <w:t xml:space="preserve"> </w:t>
      </w:r>
      <w:bookmarkEnd w:id="0"/>
      <w:r w:rsidRPr="004E2452">
        <w:rPr>
          <w:sz w:val="24"/>
        </w:rPr>
        <w:t xml:space="preserve">af personoplysninger </w:t>
      </w:r>
    </w:p>
    <w:p w14:paraId="0B21B78F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Informationen, der gives til offentligheden og til registrerede</w:t>
      </w:r>
    </w:p>
    <w:p w14:paraId="278BA172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Udøvelsen af registreredes rettigheder</w:t>
      </w:r>
    </w:p>
    <w:p w14:paraId="32BD6A9B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Informationen, der gives til børn, og beskyttelsen af børn og den måde, hvorpå samtykket fra indehavere af forældremyndighed over børn skal indhentes</w:t>
      </w:r>
    </w:p>
    <w:p w14:paraId="27AF8E22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Foranstaltningerne og procedurerne omhandlet i artikel 24 og 25 og foranstaltningerne til at sikre behandlingssikkerhed som omhandlet i artikel 32</w:t>
      </w:r>
    </w:p>
    <w:p w14:paraId="14EC6F51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 xml:space="preserve">Anmeldelse af brud på persondatasikkerheden til tilsynsmyndighederne og underretningen af de registrerede om sådanne brud på persondatasikkerheden </w:t>
      </w:r>
    </w:p>
    <w:p w14:paraId="4D773C69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Overførslen af personoplysninger til tredjelande eller internationale organisationer, eller</w:t>
      </w:r>
    </w:p>
    <w:p w14:paraId="725554A5" w14:textId="77777777" w:rsidR="00D4467D" w:rsidRPr="004E2452" w:rsidRDefault="00D4467D" w:rsidP="00D4467D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Udenretslige procedurer og andre procedurer for bilæggelse af tvister mellem dataansvarlige og registrerede vedrørende behandling, uden at det berører registreredes rettigheder i henhold til artikel 77 og 79.</w:t>
      </w:r>
    </w:p>
    <w:p w14:paraId="4E9D293D" w14:textId="68EB8A1C" w:rsidR="00D4467D" w:rsidRPr="004E2452" w:rsidRDefault="00D4467D" w:rsidP="005D0F6B">
      <w:pPr>
        <w:rPr>
          <w:sz w:val="24"/>
        </w:rPr>
      </w:pPr>
      <w:r w:rsidRPr="004E2452">
        <w:rPr>
          <w:sz w:val="24"/>
        </w:rPr>
        <w:lastRenderedPageBreak/>
        <w:t xml:space="preserve">Herudover kan et tilsluttet adfærdskodeks </w:t>
      </w:r>
      <w:r w:rsidR="00F92E20" w:rsidRPr="004E2452">
        <w:rPr>
          <w:sz w:val="24"/>
        </w:rPr>
        <w:t>bruges som et element til at kunne påvise, at den dataansvarlige lever op til</w:t>
      </w:r>
      <w:r w:rsidR="00F0637C">
        <w:rPr>
          <w:sz w:val="24"/>
        </w:rPr>
        <w:t xml:space="preserve"> sine</w:t>
      </w:r>
      <w:r w:rsidR="00F92E20" w:rsidRPr="004E2452">
        <w:rPr>
          <w:sz w:val="24"/>
        </w:rPr>
        <w:t xml:space="preserve"> forpligtigelser. </w:t>
      </w:r>
    </w:p>
    <w:p w14:paraId="7E43E731" w14:textId="7EC12D6A" w:rsidR="00F92E20" w:rsidRPr="004E2452" w:rsidRDefault="00F92E20" w:rsidP="005D0F6B">
      <w:pPr>
        <w:rPr>
          <w:sz w:val="24"/>
        </w:rPr>
      </w:pPr>
      <w:r w:rsidRPr="004E2452">
        <w:rPr>
          <w:sz w:val="24"/>
        </w:rPr>
        <w:t>Ligeledes kan kodekset bruges til at påvise</w:t>
      </w:r>
      <w:r w:rsidR="00E5611E">
        <w:rPr>
          <w:sz w:val="24"/>
        </w:rPr>
        <w:t>,</w:t>
      </w:r>
      <w:r w:rsidRPr="004E2452">
        <w:rPr>
          <w:sz w:val="24"/>
        </w:rPr>
        <w:t xml:space="preserve"> at den databehandler, som den dataansvarlige bruger, stiller de fornødne garantier i forhold til gennemførelse af tekniske og organisatoriske foranstaltninger. </w:t>
      </w:r>
    </w:p>
    <w:p w14:paraId="0E09416F" w14:textId="77777777" w:rsidR="00F92E20" w:rsidRPr="004E2452" w:rsidRDefault="00F92E20" w:rsidP="005D0F6B">
      <w:pPr>
        <w:rPr>
          <w:sz w:val="24"/>
        </w:rPr>
      </w:pPr>
      <w:r w:rsidRPr="004E2452">
        <w:rPr>
          <w:sz w:val="24"/>
        </w:rPr>
        <w:t>Kodekset kan i den forbindelse også bruges til at påvise, at den dataansvarlige og databehandleren overholder kravene til behandlingssikkerhed.</w:t>
      </w:r>
    </w:p>
    <w:p w14:paraId="141FF1E7" w14:textId="77777777" w:rsidR="00F92E20" w:rsidRPr="004E2452" w:rsidRDefault="00F92E20" w:rsidP="005D0F6B">
      <w:pPr>
        <w:rPr>
          <w:sz w:val="24"/>
        </w:rPr>
      </w:pPr>
      <w:r w:rsidRPr="004E2452">
        <w:rPr>
          <w:sz w:val="24"/>
        </w:rPr>
        <w:t>Tilslut</w:t>
      </w:r>
      <w:r w:rsidR="006E3396" w:rsidRPr="004E2452">
        <w:rPr>
          <w:sz w:val="24"/>
        </w:rPr>
        <w:t>ning</w:t>
      </w:r>
      <w:r w:rsidRPr="004E2452">
        <w:rPr>
          <w:sz w:val="24"/>
        </w:rPr>
        <w:t xml:space="preserve"> af et adfærd</w:t>
      </w:r>
      <w:r w:rsidR="006E3396" w:rsidRPr="004E2452">
        <w:rPr>
          <w:sz w:val="24"/>
        </w:rPr>
        <w:t>s</w:t>
      </w:r>
      <w:r w:rsidRPr="004E2452">
        <w:rPr>
          <w:sz w:val="24"/>
        </w:rPr>
        <w:t xml:space="preserve">kodeks </w:t>
      </w:r>
      <w:r w:rsidR="006E3396" w:rsidRPr="004E2452">
        <w:rPr>
          <w:sz w:val="24"/>
        </w:rPr>
        <w:t>skal</w:t>
      </w:r>
      <w:r w:rsidRPr="004E2452">
        <w:rPr>
          <w:sz w:val="24"/>
        </w:rPr>
        <w:t xml:space="preserve"> også inddrages i en konkret konsekvensanalyse. </w:t>
      </w:r>
    </w:p>
    <w:p w14:paraId="288FF5B3" w14:textId="20FB6474" w:rsidR="006E3396" w:rsidRPr="004E2452" w:rsidRDefault="006E3396" w:rsidP="005D0F6B">
      <w:pPr>
        <w:rPr>
          <w:sz w:val="24"/>
        </w:rPr>
      </w:pPr>
      <w:r w:rsidRPr="004E2452">
        <w:rPr>
          <w:sz w:val="24"/>
        </w:rPr>
        <w:t>Hvis man som dataansvarlig har brug for at overføre personoplysninger til et tredjeland, skal man have et såkaldt overførelsesgrundlag for at gøre dette. Det er i forordningen bestemt, at et sådan overførelsesgrundlag godt kan sikres igennem et godkendt adfærdskodeks. Det er en betingelse for dette, at der foreligger e</w:t>
      </w:r>
      <w:r w:rsidR="001D2E2D">
        <w:rPr>
          <w:sz w:val="24"/>
        </w:rPr>
        <w:t>t</w:t>
      </w:r>
      <w:r w:rsidRPr="004E2452">
        <w:rPr>
          <w:sz w:val="24"/>
        </w:rPr>
        <w:t xml:space="preserve"> bindende tilsagn</w:t>
      </w:r>
      <w:r w:rsidR="001D2E2D">
        <w:rPr>
          <w:sz w:val="24"/>
        </w:rPr>
        <w:t>,</w:t>
      </w:r>
      <w:r w:rsidRPr="004E2452">
        <w:rPr>
          <w:sz w:val="24"/>
        </w:rPr>
        <w:t xml:space="preserve"> som kan håndhæves fra den dataansvarlige eller databehandleren i tredjelandet om at anvende de fornødne garantier. </w:t>
      </w:r>
    </w:p>
    <w:p w14:paraId="35D19225" w14:textId="67496BDD" w:rsidR="005316F6" w:rsidRPr="004E2452" w:rsidRDefault="005316F6" w:rsidP="005D0F6B">
      <w:pPr>
        <w:rPr>
          <w:sz w:val="24"/>
        </w:rPr>
      </w:pPr>
      <w:r w:rsidRPr="004E2452">
        <w:rPr>
          <w:sz w:val="24"/>
        </w:rPr>
        <w:t>Til sidst, kan det tages i betragtning, om man har tilsluttet sig et godkendt adfærdskodeks i forbindelse med vurderingen af</w:t>
      </w:r>
      <w:r w:rsidR="000E4959">
        <w:rPr>
          <w:sz w:val="24"/>
        </w:rPr>
        <w:t>,</w:t>
      </w:r>
      <w:r w:rsidRPr="004E2452">
        <w:rPr>
          <w:sz w:val="24"/>
        </w:rPr>
        <w:t xml:space="preserve"> om den dataansvarlige skal pålægges en administrativ bøde. </w:t>
      </w:r>
    </w:p>
    <w:p w14:paraId="43E05F2C" w14:textId="77777777" w:rsidR="00F92E20" w:rsidRPr="004E2452" w:rsidRDefault="00F92E20" w:rsidP="005D0F6B">
      <w:pPr>
        <w:rPr>
          <w:sz w:val="24"/>
        </w:rPr>
      </w:pPr>
    </w:p>
    <w:p w14:paraId="11AFEAA3" w14:textId="77777777" w:rsidR="009B690B" w:rsidRPr="004E2452" w:rsidRDefault="005316F6" w:rsidP="005D0F6B">
      <w:pPr>
        <w:rPr>
          <w:sz w:val="24"/>
          <w:u w:val="single"/>
        </w:rPr>
      </w:pPr>
      <w:r w:rsidRPr="004E2452">
        <w:rPr>
          <w:sz w:val="24"/>
          <w:u w:val="single"/>
        </w:rPr>
        <w:t>Indholdsmæssige minimumskrav til et adfærdskodeks</w:t>
      </w:r>
    </w:p>
    <w:p w14:paraId="24C925EA" w14:textId="06BBE032" w:rsidR="009B690B" w:rsidRPr="004E2452" w:rsidRDefault="005316F6" w:rsidP="005D0F6B">
      <w:pPr>
        <w:rPr>
          <w:sz w:val="24"/>
        </w:rPr>
      </w:pPr>
      <w:r w:rsidRPr="004E2452">
        <w:rPr>
          <w:sz w:val="24"/>
        </w:rPr>
        <w:t>Adfærdskodekser skal</w:t>
      </w:r>
      <w:r w:rsidR="00165E2A">
        <w:rPr>
          <w:sz w:val="24"/>
        </w:rPr>
        <w:t>,</w:t>
      </w:r>
      <w:r w:rsidRPr="004E2452">
        <w:rPr>
          <w:sz w:val="24"/>
        </w:rPr>
        <w:t xml:space="preserve"> for at blive godkendt af Datatilsynet</w:t>
      </w:r>
      <w:r w:rsidR="00165E2A">
        <w:rPr>
          <w:sz w:val="24"/>
        </w:rPr>
        <w:t>,</w:t>
      </w:r>
      <w:r w:rsidRPr="004E2452">
        <w:rPr>
          <w:sz w:val="24"/>
        </w:rPr>
        <w:t xml:space="preserve"> </w:t>
      </w:r>
      <w:r w:rsidR="004328B4">
        <w:rPr>
          <w:sz w:val="24"/>
        </w:rPr>
        <w:t>indbefatte</w:t>
      </w:r>
      <w:r w:rsidR="004328B4" w:rsidRPr="004E2452">
        <w:rPr>
          <w:sz w:val="24"/>
        </w:rPr>
        <w:t xml:space="preserve"> </w:t>
      </w:r>
      <w:r w:rsidRPr="004E2452">
        <w:rPr>
          <w:sz w:val="24"/>
        </w:rPr>
        <w:t xml:space="preserve">nogle indholdsmæssige minimumskrav. </w:t>
      </w:r>
    </w:p>
    <w:p w14:paraId="53C04C69" w14:textId="0D4B21C6" w:rsidR="000336E7" w:rsidRPr="004E2452" w:rsidRDefault="000336E7" w:rsidP="005D0F6B">
      <w:pPr>
        <w:rPr>
          <w:sz w:val="24"/>
        </w:rPr>
      </w:pPr>
      <w:r w:rsidRPr="004E2452">
        <w:rPr>
          <w:sz w:val="24"/>
        </w:rPr>
        <w:t xml:space="preserve">Disse krav kan ændre sig over tid, men indtil videre fremfører </w:t>
      </w:r>
      <w:r w:rsidR="00EB4ECD">
        <w:rPr>
          <w:sz w:val="24"/>
        </w:rPr>
        <w:t>D</w:t>
      </w:r>
      <w:r w:rsidRPr="004E2452">
        <w:rPr>
          <w:sz w:val="24"/>
        </w:rPr>
        <w:t>atatilsynet følgende garantier, som kodekset skal indeholde for at blive godkendt:</w:t>
      </w:r>
    </w:p>
    <w:p w14:paraId="13404026" w14:textId="49485B36" w:rsidR="005316F6" w:rsidRPr="004E2452" w:rsidRDefault="000336E7" w:rsidP="000336E7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Kodekset skal klart angive, hvilke typer af organisationer eller sektorer, som kodekse</w:t>
      </w:r>
      <w:r w:rsidR="00EB4ECD">
        <w:rPr>
          <w:sz w:val="24"/>
        </w:rPr>
        <w:t>t</w:t>
      </w:r>
      <w:r w:rsidRPr="004E2452">
        <w:rPr>
          <w:sz w:val="24"/>
        </w:rPr>
        <w:t xml:space="preserve"> sigter efter at finde anvendelse på </w:t>
      </w:r>
    </w:p>
    <w:p w14:paraId="22E9A9C7" w14:textId="77777777" w:rsidR="000336E7" w:rsidRPr="004E2452" w:rsidRDefault="000336E7" w:rsidP="000336E7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Kodekset skal rettes mod konkrete og veldefinerede behandlinger</w:t>
      </w:r>
    </w:p>
    <w:p w14:paraId="79230511" w14:textId="77E01116" w:rsidR="000336E7" w:rsidRPr="004E2452" w:rsidRDefault="000336E7" w:rsidP="000336E7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 xml:space="preserve">Der bør ved udarbejdelsen af kodekset ske høring af relevante interessenter </w:t>
      </w:r>
    </w:p>
    <w:p w14:paraId="4F864BD8" w14:textId="77777777" w:rsidR="000336E7" w:rsidRPr="004E2452" w:rsidRDefault="000336E7" w:rsidP="000336E7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Kodekset skal rettes mo</w:t>
      </w:r>
      <w:r w:rsidR="004E2452" w:rsidRPr="004E2452">
        <w:rPr>
          <w:sz w:val="24"/>
        </w:rPr>
        <w:t>d</w:t>
      </w:r>
      <w:r w:rsidRPr="004E2452">
        <w:rPr>
          <w:sz w:val="24"/>
        </w:rPr>
        <w:t xml:space="preserve"> konkrete behandlingssituationer</w:t>
      </w:r>
    </w:p>
    <w:p w14:paraId="6E18823F" w14:textId="16661D78" w:rsidR="000336E7" w:rsidRPr="004E2452" w:rsidRDefault="000336E7" w:rsidP="000336E7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Kodekset skal indeholde konkrete retning</w:t>
      </w:r>
      <w:r w:rsidR="004E2452" w:rsidRPr="004E2452">
        <w:rPr>
          <w:sz w:val="24"/>
        </w:rPr>
        <w:t xml:space="preserve">slinjer, som skal kunne hjælpe de tilsluttede virksomheder eller organisationer til at overholde </w:t>
      </w:r>
      <w:r w:rsidR="005A189B">
        <w:rPr>
          <w:sz w:val="24"/>
        </w:rPr>
        <w:t>databeskyttelses</w:t>
      </w:r>
      <w:r w:rsidR="005A189B" w:rsidRPr="004E2452">
        <w:rPr>
          <w:sz w:val="24"/>
        </w:rPr>
        <w:t>forordningen</w:t>
      </w:r>
      <w:r w:rsidR="004E2452" w:rsidRPr="004E2452">
        <w:rPr>
          <w:sz w:val="24"/>
        </w:rPr>
        <w:t xml:space="preserve"> </w:t>
      </w:r>
    </w:p>
    <w:p w14:paraId="3D49907D" w14:textId="1EFE8523" w:rsidR="004E2452" w:rsidRPr="004E2452" w:rsidRDefault="004E2452" w:rsidP="000336E7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 xml:space="preserve">Kodekset skal indeholde mekanismer, således at et kontrolorgan kan foretage kontrol af, om de tilsluttede rent faktisk overholder reglerne i kodekset </w:t>
      </w:r>
    </w:p>
    <w:p w14:paraId="4A38F0F0" w14:textId="5E8C46EE" w:rsidR="005316F6" w:rsidRPr="00861BDF" w:rsidRDefault="004E2452" w:rsidP="005D0F6B">
      <w:pPr>
        <w:pStyle w:val="Listeafsnit"/>
        <w:numPr>
          <w:ilvl w:val="0"/>
          <w:numId w:val="1"/>
        </w:numPr>
        <w:rPr>
          <w:sz w:val="24"/>
        </w:rPr>
      </w:pPr>
      <w:r w:rsidRPr="004E2452">
        <w:rPr>
          <w:sz w:val="24"/>
        </w:rPr>
        <w:t>Der skal altid være en instans, der løbende sørger for, at kodekse</w:t>
      </w:r>
      <w:r w:rsidR="00EB4ECD">
        <w:rPr>
          <w:sz w:val="24"/>
        </w:rPr>
        <w:t>t</w:t>
      </w:r>
      <w:r w:rsidRPr="004E2452">
        <w:rPr>
          <w:sz w:val="24"/>
        </w:rPr>
        <w:t xml:space="preserve"> bliver opdateret og tilpasset</w:t>
      </w:r>
    </w:p>
    <w:p w14:paraId="37F6AB3A" w14:textId="77777777" w:rsidR="00EB4ECD" w:rsidRDefault="00EB4ECD" w:rsidP="005D0F6B">
      <w:pPr>
        <w:rPr>
          <w:b/>
          <w:sz w:val="24"/>
        </w:rPr>
      </w:pPr>
    </w:p>
    <w:p w14:paraId="058005C0" w14:textId="758CDC91" w:rsidR="005316F6" w:rsidRPr="004E2452" w:rsidRDefault="004E2452" w:rsidP="005D0F6B">
      <w:pPr>
        <w:rPr>
          <w:b/>
          <w:sz w:val="24"/>
        </w:rPr>
      </w:pPr>
      <w:r w:rsidRPr="004E2452">
        <w:rPr>
          <w:b/>
          <w:sz w:val="24"/>
        </w:rPr>
        <w:t xml:space="preserve">Certificeringsordninger </w:t>
      </w:r>
    </w:p>
    <w:p w14:paraId="32A4957C" w14:textId="77777777" w:rsidR="00B83D27" w:rsidRDefault="00B83D27" w:rsidP="005D0F6B">
      <w:pPr>
        <w:rPr>
          <w:sz w:val="24"/>
          <w:u w:val="single"/>
        </w:rPr>
      </w:pPr>
      <w:r>
        <w:rPr>
          <w:sz w:val="24"/>
          <w:u w:val="single"/>
        </w:rPr>
        <w:t xml:space="preserve">Hvad er en certificeringsordning? </w:t>
      </w:r>
    </w:p>
    <w:p w14:paraId="6F077582" w14:textId="0EF1B931" w:rsidR="00B83D27" w:rsidRDefault="00B83D27" w:rsidP="005D0F6B">
      <w:pPr>
        <w:rPr>
          <w:sz w:val="24"/>
        </w:rPr>
      </w:pPr>
      <w:r>
        <w:rPr>
          <w:sz w:val="24"/>
        </w:rPr>
        <w:lastRenderedPageBreak/>
        <w:t>En certificeringsordning i databeskyttelsesforordningens forstand er en ordning, hvor en tredjepart – kalde</w:t>
      </w:r>
      <w:r w:rsidR="00EB4ECD">
        <w:rPr>
          <w:sz w:val="24"/>
        </w:rPr>
        <w:t>t</w:t>
      </w:r>
      <w:r>
        <w:rPr>
          <w:sz w:val="24"/>
        </w:rPr>
        <w:t xml:space="preserve"> certificeringsorganet - indestår for, at en virksomhed eller en organisation lever op til nogle foruddefinerede kriterier og/eller krav. </w:t>
      </w:r>
    </w:p>
    <w:p w14:paraId="0C33F6AA" w14:textId="6A5A47B1" w:rsidR="00B83D27" w:rsidRDefault="00B83D27" w:rsidP="005D0F6B">
      <w:pPr>
        <w:rPr>
          <w:sz w:val="24"/>
        </w:rPr>
      </w:pPr>
      <w:r>
        <w:rPr>
          <w:sz w:val="24"/>
        </w:rPr>
        <w:t xml:space="preserve">En certificering kan vedrøre f.eks. indsamling, sletning, registrering osv. af personoplysninger, men kan derimod ikke vedrøre f.eks. et it-system hvor behandlingen foregår. </w:t>
      </w:r>
    </w:p>
    <w:p w14:paraId="408A83BE" w14:textId="755962CB" w:rsidR="00B83D27" w:rsidRPr="00B83D27" w:rsidRDefault="00B91F02" w:rsidP="005D0F6B">
      <w:pPr>
        <w:rPr>
          <w:sz w:val="24"/>
        </w:rPr>
      </w:pPr>
      <w:r>
        <w:rPr>
          <w:sz w:val="24"/>
        </w:rPr>
        <w:t>Ligesom et adfærdskodeks, kan certificeringsordningen bruges til at sikre, at behandlingsaktiviteterne overholder forordningens krav, samt til at påvise at vedkommen</w:t>
      </w:r>
      <w:r w:rsidR="003F552C">
        <w:rPr>
          <w:sz w:val="24"/>
        </w:rPr>
        <w:t>de</w:t>
      </w:r>
      <w:r>
        <w:rPr>
          <w:sz w:val="24"/>
        </w:rPr>
        <w:t xml:space="preserve"> virksomhed eller organisation faktisk overholde</w:t>
      </w:r>
      <w:r w:rsidR="008369EB">
        <w:rPr>
          <w:sz w:val="24"/>
        </w:rPr>
        <w:t>r</w:t>
      </w:r>
      <w:r>
        <w:rPr>
          <w:sz w:val="24"/>
        </w:rPr>
        <w:t xml:space="preserve"> forordningens krav. </w:t>
      </w:r>
    </w:p>
    <w:p w14:paraId="1CECDB67" w14:textId="6053E0E4" w:rsidR="00B91F02" w:rsidRDefault="00B91F02" w:rsidP="005D0F6B">
      <w:pPr>
        <w:rPr>
          <w:sz w:val="24"/>
        </w:rPr>
      </w:pPr>
      <w:r>
        <w:rPr>
          <w:sz w:val="24"/>
        </w:rPr>
        <w:t>Hvis en virksomhed eller en organisation opnår en given certificering, så får pågældende et bevis, der viser</w:t>
      </w:r>
      <w:r w:rsidR="00FA194A">
        <w:rPr>
          <w:sz w:val="24"/>
        </w:rPr>
        <w:t>,</w:t>
      </w:r>
      <w:r>
        <w:rPr>
          <w:sz w:val="24"/>
        </w:rPr>
        <w:t xml:space="preserve"> at den pågældende certificering er opnået, samt at behandlingsaktiviteten bør udføres på den specifikke måde, som er foreskrevet i certificeringsordningen. </w:t>
      </w:r>
    </w:p>
    <w:p w14:paraId="45A9CDEB" w14:textId="77777777" w:rsidR="00B91F02" w:rsidRDefault="00B91F02" w:rsidP="005D0F6B">
      <w:pPr>
        <w:rPr>
          <w:sz w:val="24"/>
        </w:rPr>
      </w:pPr>
    </w:p>
    <w:p w14:paraId="1E4D7F7F" w14:textId="012FF911" w:rsidR="00D20F96" w:rsidRDefault="00716D67" w:rsidP="005D0F6B">
      <w:pPr>
        <w:rPr>
          <w:sz w:val="24"/>
          <w:u w:val="single"/>
        </w:rPr>
      </w:pPr>
      <w:r>
        <w:rPr>
          <w:sz w:val="24"/>
          <w:u w:val="single"/>
        </w:rPr>
        <w:t>Hvem kan lave en certificeringsordning?</w:t>
      </w:r>
    </w:p>
    <w:p w14:paraId="1E20FDC9" w14:textId="2872A345" w:rsidR="00716D67" w:rsidRDefault="00716D67" w:rsidP="005D0F6B">
      <w:pPr>
        <w:rPr>
          <w:sz w:val="24"/>
        </w:rPr>
      </w:pPr>
      <w:r>
        <w:rPr>
          <w:sz w:val="24"/>
        </w:rPr>
        <w:t>Forordningen indeholder ikke nog</w:t>
      </w:r>
      <w:r w:rsidR="00FA194A">
        <w:rPr>
          <w:sz w:val="24"/>
        </w:rPr>
        <w:t>le</w:t>
      </w:r>
      <w:r>
        <w:rPr>
          <w:sz w:val="24"/>
        </w:rPr>
        <w:t xml:space="preserve"> retningslinjer for, hvem der kan tage initiativ til at udarbejde en certificeringsordning. </w:t>
      </w:r>
    </w:p>
    <w:p w14:paraId="72B4C8E8" w14:textId="630CC3DC" w:rsidR="00716D67" w:rsidRDefault="00716D67" w:rsidP="005D0F6B">
      <w:pPr>
        <w:rPr>
          <w:sz w:val="24"/>
        </w:rPr>
      </w:pPr>
      <w:r>
        <w:rPr>
          <w:sz w:val="24"/>
        </w:rPr>
        <w:t xml:space="preserve">Ifølge </w:t>
      </w:r>
      <w:r w:rsidR="00D7556A">
        <w:rPr>
          <w:sz w:val="24"/>
        </w:rPr>
        <w:t>D</w:t>
      </w:r>
      <w:r>
        <w:rPr>
          <w:sz w:val="24"/>
        </w:rPr>
        <w:t xml:space="preserve">atatilsynet, vil det i praksis ofte være en virksomhed, som kan se et forretningspotentiale i at lade sig selv blive et certificeringsorgan. </w:t>
      </w:r>
    </w:p>
    <w:p w14:paraId="1C8C51A9" w14:textId="77777777" w:rsidR="00716D67" w:rsidRDefault="00716D67" w:rsidP="00716D67">
      <w:pPr>
        <w:rPr>
          <w:sz w:val="24"/>
        </w:rPr>
      </w:pPr>
    </w:p>
    <w:p w14:paraId="4E259117" w14:textId="77777777" w:rsidR="00716D67" w:rsidRDefault="00716D67" w:rsidP="00716D67">
      <w:pPr>
        <w:rPr>
          <w:sz w:val="24"/>
          <w:u w:val="single"/>
        </w:rPr>
      </w:pPr>
      <w:r>
        <w:rPr>
          <w:sz w:val="24"/>
          <w:u w:val="single"/>
        </w:rPr>
        <w:t>Hvad kan en certificeringsordning bruges til?</w:t>
      </w:r>
    </w:p>
    <w:p w14:paraId="123C1140" w14:textId="7BC2C801" w:rsidR="00716D67" w:rsidRDefault="00716D67" w:rsidP="00716D67">
      <w:pPr>
        <w:rPr>
          <w:sz w:val="24"/>
        </w:rPr>
      </w:pPr>
      <w:r>
        <w:rPr>
          <w:sz w:val="24"/>
        </w:rPr>
        <w:t>Ligeledes fremgår det heller ikke af forordningen, hvilke behandlinger</w:t>
      </w:r>
      <w:r w:rsidR="004D61AC">
        <w:rPr>
          <w:sz w:val="24"/>
        </w:rPr>
        <w:t xml:space="preserve"> en certificering skal specificere anvendelsen af. </w:t>
      </w:r>
    </w:p>
    <w:p w14:paraId="256E7B53" w14:textId="11728177" w:rsidR="004D61AC" w:rsidRDefault="004D61AC" w:rsidP="00716D67">
      <w:pPr>
        <w:rPr>
          <w:sz w:val="24"/>
        </w:rPr>
      </w:pPr>
      <w:r>
        <w:rPr>
          <w:sz w:val="24"/>
        </w:rPr>
        <w:t>De</w:t>
      </w:r>
      <w:r w:rsidR="008A1302">
        <w:rPr>
          <w:sz w:val="24"/>
        </w:rPr>
        <w:t>r</w:t>
      </w:r>
      <w:r>
        <w:rPr>
          <w:sz w:val="24"/>
        </w:rPr>
        <w:t xml:space="preserve"> må dog ifølge </w:t>
      </w:r>
      <w:r w:rsidR="00C92A46">
        <w:rPr>
          <w:sz w:val="24"/>
        </w:rPr>
        <w:t>D</w:t>
      </w:r>
      <w:r>
        <w:rPr>
          <w:sz w:val="24"/>
        </w:rPr>
        <w:t xml:space="preserve">atatilsynet være tale om nogle af de samme behandlinger, som fremgår af forordningen vedrørende adfærdskodekser. </w:t>
      </w:r>
    </w:p>
    <w:p w14:paraId="1A7DE60A" w14:textId="7668C1C0" w:rsidR="004D61AC" w:rsidRDefault="004D61AC" w:rsidP="00716D67">
      <w:pPr>
        <w:rPr>
          <w:sz w:val="24"/>
        </w:rPr>
      </w:pPr>
      <w:r>
        <w:rPr>
          <w:sz w:val="24"/>
        </w:rPr>
        <w:t>Der er også, ligesom ved adfærdskodekser, steder i forordningen</w:t>
      </w:r>
      <w:r w:rsidR="00FB167A">
        <w:rPr>
          <w:sz w:val="24"/>
        </w:rPr>
        <w:t>,</w:t>
      </w:r>
      <w:r>
        <w:rPr>
          <w:sz w:val="24"/>
        </w:rPr>
        <w:t xml:space="preserve"> hvor det kan tillægges betydning, om den pågældende virksomhed eller organisation har fået en certificering. </w:t>
      </w:r>
    </w:p>
    <w:p w14:paraId="6AEEBAAA" w14:textId="77777777" w:rsidR="004D61AC" w:rsidRDefault="004D61AC" w:rsidP="00716D67">
      <w:pPr>
        <w:rPr>
          <w:sz w:val="24"/>
        </w:rPr>
      </w:pPr>
      <w:r>
        <w:rPr>
          <w:sz w:val="24"/>
        </w:rPr>
        <w:t xml:space="preserve">En certificering vil derved kunne bruges som et element til at påvise, at den dataansvarlige lever op til sine forpligtigelser efter forordningen. </w:t>
      </w:r>
    </w:p>
    <w:p w14:paraId="637BEBF7" w14:textId="77777777" w:rsidR="004D61AC" w:rsidRDefault="004D61AC" w:rsidP="00716D67">
      <w:pPr>
        <w:rPr>
          <w:sz w:val="24"/>
        </w:rPr>
      </w:pPr>
      <w:r>
        <w:rPr>
          <w:sz w:val="24"/>
        </w:rPr>
        <w:t xml:space="preserve">Derudover vil certificeringen kunne bruges som et element til påvise overholdelsen af kravene om databeskyttelsen gennem design og standardindstillinger. </w:t>
      </w:r>
    </w:p>
    <w:p w14:paraId="24184543" w14:textId="77777777" w:rsidR="00F0436B" w:rsidRDefault="00F0436B" w:rsidP="00716D67">
      <w:pPr>
        <w:rPr>
          <w:sz w:val="24"/>
        </w:rPr>
      </w:pPr>
      <w:r>
        <w:rPr>
          <w:sz w:val="24"/>
        </w:rPr>
        <w:t xml:space="preserve">Certificeringen kan bruges til at påvise, at databehandleren stiller de fornødne garantier. Det samme gælder påvisning af databehandlerens overholdelse af kravene til behandlingssikkerhed. </w:t>
      </w:r>
    </w:p>
    <w:p w14:paraId="5225EFB5" w14:textId="7C311BC2" w:rsidR="00F0436B" w:rsidRPr="004E2452" w:rsidRDefault="00F0436B" w:rsidP="00F0436B">
      <w:pPr>
        <w:rPr>
          <w:sz w:val="24"/>
        </w:rPr>
      </w:pPr>
      <w:r w:rsidRPr="004E2452">
        <w:rPr>
          <w:sz w:val="24"/>
        </w:rPr>
        <w:t xml:space="preserve">Hvis man som dataansvarlig har brug for at overføre personoplysninger til et tredjeland, skal man have et såkaldt overførelsesgrundlag for at gøre dette. Det er i forordningen bestemt, at et sådan overførelsesgrundlag godt kan sikres igennem </w:t>
      </w:r>
      <w:r>
        <w:rPr>
          <w:sz w:val="24"/>
        </w:rPr>
        <w:t>en godkendt certificeringsordning</w:t>
      </w:r>
      <w:r w:rsidRPr="004E2452">
        <w:rPr>
          <w:sz w:val="24"/>
        </w:rPr>
        <w:t xml:space="preserve">. Det er en </w:t>
      </w:r>
      <w:r w:rsidRPr="004E2452">
        <w:rPr>
          <w:sz w:val="24"/>
        </w:rPr>
        <w:lastRenderedPageBreak/>
        <w:t>betingelse for dette, at der foreligger e</w:t>
      </w:r>
      <w:r w:rsidR="004F13D6">
        <w:rPr>
          <w:sz w:val="24"/>
        </w:rPr>
        <w:t>t</w:t>
      </w:r>
      <w:r w:rsidRPr="004E2452">
        <w:rPr>
          <w:sz w:val="24"/>
        </w:rPr>
        <w:t xml:space="preserve"> bindende tilsagn</w:t>
      </w:r>
      <w:r w:rsidR="004F13D6">
        <w:rPr>
          <w:sz w:val="24"/>
        </w:rPr>
        <w:t>,</w:t>
      </w:r>
      <w:r w:rsidRPr="004E2452">
        <w:rPr>
          <w:sz w:val="24"/>
        </w:rPr>
        <w:t xml:space="preserve"> som kan håndhæves fra den dataansvarlige eller databehandleren i tredjelandet om at anvende de fornødne garantier. </w:t>
      </w:r>
    </w:p>
    <w:p w14:paraId="1469E0D4" w14:textId="0302DB17" w:rsidR="00F0436B" w:rsidRPr="004E2452" w:rsidRDefault="00F0436B" w:rsidP="00F0436B">
      <w:pPr>
        <w:rPr>
          <w:sz w:val="24"/>
        </w:rPr>
      </w:pPr>
      <w:r w:rsidRPr="004E2452">
        <w:rPr>
          <w:sz w:val="24"/>
        </w:rPr>
        <w:t>Til sidst, kan det tages i betragtning, om man har tilsluttet sig e</w:t>
      </w:r>
      <w:r>
        <w:rPr>
          <w:sz w:val="24"/>
        </w:rPr>
        <w:t>n</w:t>
      </w:r>
      <w:r w:rsidRPr="004E2452">
        <w:rPr>
          <w:sz w:val="24"/>
        </w:rPr>
        <w:t xml:space="preserve"> godkendt </w:t>
      </w:r>
      <w:r>
        <w:rPr>
          <w:sz w:val="24"/>
        </w:rPr>
        <w:t>certificeringsordning</w:t>
      </w:r>
      <w:r w:rsidRPr="004E2452">
        <w:rPr>
          <w:sz w:val="24"/>
        </w:rPr>
        <w:t xml:space="preserve"> i forbindelse med vurderingen af</w:t>
      </w:r>
      <w:r w:rsidR="002C47E6">
        <w:rPr>
          <w:sz w:val="24"/>
        </w:rPr>
        <w:t>,</w:t>
      </w:r>
      <w:r w:rsidRPr="004E2452">
        <w:rPr>
          <w:sz w:val="24"/>
        </w:rPr>
        <w:t xml:space="preserve"> om den dataansvarlige skal pålægges en administrativ bøde</w:t>
      </w:r>
      <w:r>
        <w:rPr>
          <w:sz w:val="24"/>
        </w:rPr>
        <w:t xml:space="preserve"> og eventuelt størrelsen heraf</w:t>
      </w:r>
      <w:r w:rsidRPr="004E2452">
        <w:rPr>
          <w:sz w:val="24"/>
        </w:rPr>
        <w:t xml:space="preserve">. </w:t>
      </w:r>
    </w:p>
    <w:p w14:paraId="3CE2D1F9" w14:textId="77777777" w:rsidR="00F0436B" w:rsidRDefault="00F0436B" w:rsidP="00716D67">
      <w:pPr>
        <w:rPr>
          <w:sz w:val="24"/>
        </w:rPr>
      </w:pPr>
    </w:p>
    <w:p w14:paraId="649E16B2" w14:textId="77777777" w:rsidR="00F0436B" w:rsidRDefault="00F0436B" w:rsidP="00716D67">
      <w:pPr>
        <w:rPr>
          <w:sz w:val="24"/>
          <w:u w:val="single"/>
        </w:rPr>
      </w:pPr>
      <w:r>
        <w:rPr>
          <w:sz w:val="24"/>
          <w:u w:val="single"/>
        </w:rPr>
        <w:t xml:space="preserve">Hvordan kan man blive certificeret? </w:t>
      </w:r>
    </w:p>
    <w:p w14:paraId="78A8A46B" w14:textId="38F17F21" w:rsidR="00CC5C48" w:rsidRDefault="00F0436B" w:rsidP="00716D67">
      <w:pPr>
        <w:rPr>
          <w:sz w:val="24"/>
        </w:rPr>
      </w:pPr>
      <w:r>
        <w:rPr>
          <w:sz w:val="24"/>
        </w:rPr>
        <w:t xml:space="preserve">Det fremgår af forordningen, at en </w:t>
      </w:r>
      <w:r w:rsidR="00CC5C48">
        <w:rPr>
          <w:sz w:val="24"/>
        </w:rPr>
        <w:t>certificering kan</w:t>
      </w:r>
      <w:r>
        <w:rPr>
          <w:sz w:val="24"/>
        </w:rPr>
        <w:t xml:space="preserve"> foretages af et certificeringsorgan eller af Datatilsynet</w:t>
      </w:r>
      <w:r w:rsidR="00CC5C48">
        <w:rPr>
          <w:sz w:val="24"/>
        </w:rPr>
        <w:t xml:space="preserve">. </w:t>
      </w:r>
      <w:r w:rsidR="001F147B">
        <w:rPr>
          <w:sz w:val="24"/>
        </w:rPr>
        <w:t xml:space="preserve">Certificeringen foretages </w:t>
      </w:r>
      <w:r w:rsidR="00CC5C48">
        <w:rPr>
          <w:sz w:val="24"/>
        </w:rPr>
        <w:t xml:space="preserve">på baggrund af kriterier, der er godkendt af Datatilsynet. </w:t>
      </w:r>
    </w:p>
    <w:p w14:paraId="78B88E76" w14:textId="5264F7E2" w:rsidR="00CC5C48" w:rsidRDefault="00CC5C48" w:rsidP="00716D67">
      <w:pPr>
        <w:rPr>
          <w:sz w:val="24"/>
        </w:rPr>
      </w:pPr>
      <w:r>
        <w:rPr>
          <w:sz w:val="24"/>
        </w:rPr>
        <w:t>Datatilsynet vi</w:t>
      </w:r>
      <w:r w:rsidR="001F147B">
        <w:rPr>
          <w:sz w:val="24"/>
        </w:rPr>
        <w:t>l</w:t>
      </w:r>
      <w:r>
        <w:rPr>
          <w:sz w:val="24"/>
        </w:rPr>
        <w:t xml:space="preserve"> offentliggør</w:t>
      </w:r>
      <w:r w:rsidR="001F147B">
        <w:rPr>
          <w:sz w:val="24"/>
        </w:rPr>
        <w:t>e</w:t>
      </w:r>
      <w:r>
        <w:rPr>
          <w:sz w:val="24"/>
        </w:rPr>
        <w:t xml:space="preserve"> oversigter over de godkendte certificeringsordninger. Hvis man ønsker at</w:t>
      </w:r>
      <w:r w:rsidR="00C62C47">
        <w:rPr>
          <w:sz w:val="24"/>
        </w:rPr>
        <w:t xml:space="preserve"> blive</w:t>
      </w:r>
      <w:r>
        <w:rPr>
          <w:sz w:val="24"/>
        </w:rPr>
        <w:t xml:space="preserve"> certificere</w:t>
      </w:r>
      <w:r w:rsidR="00C62C47">
        <w:rPr>
          <w:sz w:val="24"/>
        </w:rPr>
        <w:t>t</w:t>
      </w:r>
      <w:r>
        <w:rPr>
          <w:sz w:val="24"/>
        </w:rPr>
        <w:t xml:space="preserve"> af en relevant certificeringsordning, skal man anmode certificeringsorganet om blive certificeret. </w:t>
      </w:r>
    </w:p>
    <w:p w14:paraId="5B3E2CCB" w14:textId="06866DD9" w:rsidR="00CC5C48" w:rsidRDefault="00CC5C48" w:rsidP="00716D67">
      <w:pPr>
        <w:rPr>
          <w:sz w:val="24"/>
        </w:rPr>
      </w:pPr>
      <w:r>
        <w:rPr>
          <w:sz w:val="24"/>
        </w:rPr>
        <w:t xml:space="preserve">Det er certificeringsorganet, </w:t>
      </w:r>
      <w:r w:rsidR="00C62C47">
        <w:rPr>
          <w:sz w:val="24"/>
        </w:rPr>
        <w:t xml:space="preserve">der </w:t>
      </w:r>
      <w:r w:rsidR="00AE1388">
        <w:rPr>
          <w:sz w:val="24"/>
        </w:rPr>
        <w:t>vurderer</w:t>
      </w:r>
      <w:r>
        <w:rPr>
          <w:sz w:val="24"/>
        </w:rPr>
        <w:t xml:space="preserve"> om en den pågældende virksomhed eller organisation lever op til kravene og kriterierne for at blive certificeret af den pågældende certificeringsordning. </w:t>
      </w:r>
    </w:p>
    <w:p w14:paraId="4409ED4D" w14:textId="2827FE5F" w:rsidR="00AE1388" w:rsidRDefault="00AE1388" w:rsidP="00716D67">
      <w:pPr>
        <w:rPr>
          <w:sz w:val="24"/>
        </w:rPr>
      </w:pPr>
      <w:r>
        <w:rPr>
          <w:sz w:val="24"/>
        </w:rPr>
        <w:t xml:space="preserve">Certificeringsorganet skal herefter meddele Datatilsynet en begrundelse for udstedelsen af certifikatet. Datatilsynet kan eventuelt udstede et påbud </w:t>
      </w:r>
      <w:r w:rsidR="00DA1495">
        <w:rPr>
          <w:sz w:val="24"/>
        </w:rPr>
        <w:t xml:space="preserve">om </w:t>
      </w:r>
      <w:r>
        <w:rPr>
          <w:sz w:val="24"/>
        </w:rPr>
        <w:t xml:space="preserve">at en specifik certificering ikke udstedes. Hvis ikke dette er tilfældet, så udsteder certificeringsorganet certifikatet til virksomheden/organisationen. Herefter kan virksomheden eller organisationen benytte sig af sit certifikat. </w:t>
      </w:r>
    </w:p>
    <w:p w14:paraId="26F66CC9" w14:textId="10673B45" w:rsidR="00AE1388" w:rsidRDefault="00AE1388" w:rsidP="00716D67">
      <w:pPr>
        <w:rPr>
          <w:sz w:val="24"/>
        </w:rPr>
      </w:pPr>
      <w:r>
        <w:rPr>
          <w:sz w:val="24"/>
        </w:rPr>
        <w:t>De certifikater</w:t>
      </w:r>
      <w:r w:rsidR="00EC4C47">
        <w:rPr>
          <w:sz w:val="24"/>
        </w:rPr>
        <w:t>,</w:t>
      </w:r>
      <w:r>
        <w:rPr>
          <w:sz w:val="24"/>
        </w:rPr>
        <w:t xml:space="preserve"> der udstedes vil ofte offentliggøres af certificeringsorganet, således at registrerede kan se om en given virksomhed eller organisation er certificeret. </w:t>
      </w:r>
    </w:p>
    <w:p w14:paraId="56B81C22" w14:textId="361D58E2" w:rsidR="00CC5C48" w:rsidRDefault="00AE1388" w:rsidP="00AE1388">
      <w:pPr>
        <w:rPr>
          <w:sz w:val="24"/>
        </w:rPr>
      </w:pPr>
      <w:r w:rsidRPr="00AE1388">
        <w:rPr>
          <w:sz w:val="24"/>
        </w:rPr>
        <w:t>Datatilsynet kan føre tilsyn med, om kravene til certificering overhold</w:t>
      </w:r>
      <w:r>
        <w:rPr>
          <w:sz w:val="24"/>
        </w:rPr>
        <w:t>es. De</w:t>
      </w:r>
      <w:r w:rsidRPr="00AE1388">
        <w:rPr>
          <w:sz w:val="24"/>
        </w:rPr>
        <w:t xml:space="preserve"> kan i den forbindelse tilbagetrække et certifikat. </w:t>
      </w:r>
      <w:r w:rsidR="00FB1F25">
        <w:rPr>
          <w:sz w:val="24"/>
        </w:rPr>
        <w:t>C</w:t>
      </w:r>
      <w:r w:rsidRPr="00AE1388">
        <w:rPr>
          <w:sz w:val="24"/>
        </w:rPr>
        <w:t>ertificeringsorganet</w:t>
      </w:r>
      <w:r w:rsidR="00FB1F25">
        <w:rPr>
          <w:sz w:val="24"/>
        </w:rPr>
        <w:t xml:space="preserve"> vil også løbende</w:t>
      </w:r>
      <w:r w:rsidRPr="00AE1388">
        <w:rPr>
          <w:sz w:val="24"/>
        </w:rPr>
        <w:t xml:space="preserve"> gennemføre</w:t>
      </w:r>
      <w:r w:rsidR="00FB1F25">
        <w:rPr>
          <w:sz w:val="24"/>
        </w:rPr>
        <w:t xml:space="preserve"> en</w:t>
      </w:r>
      <w:r w:rsidRPr="00AE1388">
        <w:rPr>
          <w:sz w:val="24"/>
        </w:rPr>
        <w:t xml:space="preserve"> revision i overensstemmelse med bestemmelserne i</w:t>
      </w:r>
      <w:r w:rsidR="00FB1F25">
        <w:rPr>
          <w:sz w:val="24"/>
        </w:rPr>
        <w:t xml:space="preserve"> selve</w:t>
      </w:r>
      <w:r w:rsidRPr="00AE1388">
        <w:rPr>
          <w:sz w:val="24"/>
        </w:rPr>
        <w:t xml:space="preserve"> certificeringsordningen.</w:t>
      </w:r>
    </w:p>
    <w:p w14:paraId="701C1845" w14:textId="77777777" w:rsidR="00861BDF" w:rsidRDefault="00861BDF" w:rsidP="00861BDF">
      <w:pPr>
        <w:rPr>
          <w:sz w:val="24"/>
        </w:rPr>
      </w:pPr>
    </w:p>
    <w:p w14:paraId="00DBF9B2" w14:textId="77777777" w:rsidR="00861BDF" w:rsidRDefault="00861BDF" w:rsidP="00861BDF">
      <w:pPr>
        <w:rPr>
          <w:sz w:val="24"/>
          <w:u w:val="single"/>
        </w:rPr>
      </w:pPr>
      <w:r>
        <w:rPr>
          <w:sz w:val="24"/>
          <w:u w:val="single"/>
        </w:rPr>
        <w:t>Hvordan bliver man certificeringsorgan?</w:t>
      </w:r>
    </w:p>
    <w:p w14:paraId="1206C110" w14:textId="1EE797D1" w:rsidR="00861BDF" w:rsidRDefault="00861BDF" w:rsidP="00861BDF">
      <w:pPr>
        <w:rPr>
          <w:sz w:val="24"/>
        </w:rPr>
      </w:pPr>
      <w:r>
        <w:rPr>
          <w:sz w:val="24"/>
        </w:rPr>
        <w:t>Førend man kan udstede en certificeringsordning, skal man godkendes som certificeringsorgan.</w:t>
      </w:r>
    </w:p>
    <w:p w14:paraId="28293A6A" w14:textId="6649CF84" w:rsidR="007B09CC" w:rsidRDefault="00861BDF" w:rsidP="00861BDF">
      <w:pPr>
        <w:rPr>
          <w:sz w:val="24"/>
        </w:rPr>
      </w:pPr>
      <w:r>
        <w:rPr>
          <w:sz w:val="24"/>
        </w:rPr>
        <w:t>I Danmark kan man godkendes som certificeringsorgan</w:t>
      </w:r>
      <w:r w:rsidR="007B09CC">
        <w:rPr>
          <w:sz w:val="24"/>
        </w:rPr>
        <w:t xml:space="preserve"> af enten </w:t>
      </w:r>
      <w:r w:rsidR="00301656">
        <w:rPr>
          <w:sz w:val="24"/>
        </w:rPr>
        <w:t>D</w:t>
      </w:r>
      <w:r w:rsidR="007B09CC">
        <w:rPr>
          <w:sz w:val="24"/>
        </w:rPr>
        <w:t xml:space="preserve">atatilsynet eller det danske akkrediteringsorgan (DANAK) – i praksis vil </w:t>
      </w:r>
      <w:r w:rsidR="004D7BAA">
        <w:rPr>
          <w:sz w:val="24"/>
        </w:rPr>
        <w:t xml:space="preserve">det </w:t>
      </w:r>
      <w:r w:rsidR="00641F6F">
        <w:rPr>
          <w:sz w:val="24"/>
        </w:rPr>
        <w:t>dog</w:t>
      </w:r>
      <w:r w:rsidR="00D8242D">
        <w:rPr>
          <w:sz w:val="24"/>
        </w:rPr>
        <w:t xml:space="preserve"> </w:t>
      </w:r>
      <w:r w:rsidR="007B09CC">
        <w:rPr>
          <w:sz w:val="24"/>
        </w:rPr>
        <w:t xml:space="preserve">være DANAK. </w:t>
      </w:r>
    </w:p>
    <w:p w14:paraId="50B2AAF1" w14:textId="55426AFC" w:rsidR="00861BDF" w:rsidRDefault="007B09CC" w:rsidP="00861BDF">
      <w:pPr>
        <w:rPr>
          <w:sz w:val="24"/>
        </w:rPr>
      </w:pPr>
      <w:r>
        <w:rPr>
          <w:sz w:val="24"/>
        </w:rPr>
        <w:t>Der stilles høje krav til hvornår en virksomhed eller organisation kan godkendes som certificeringsorgan.</w:t>
      </w:r>
    </w:p>
    <w:p w14:paraId="7154CB1C" w14:textId="77777777" w:rsidR="007B09CC" w:rsidRPr="00861BDF" w:rsidRDefault="007B09CC" w:rsidP="00861BDF">
      <w:pPr>
        <w:rPr>
          <w:sz w:val="24"/>
        </w:rPr>
      </w:pPr>
    </w:p>
    <w:sectPr w:rsidR="007B09CC" w:rsidRPr="00861B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113FD"/>
    <w:multiLevelType w:val="hybridMultilevel"/>
    <w:tmpl w:val="6848FC9C"/>
    <w:lvl w:ilvl="0" w:tplc="D9B23C8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6B"/>
    <w:rsid w:val="000336E7"/>
    <w:rsid w:val="00036E76"/>
    <w:rsid w:val="000E4959"/>
    <w:rsid w:val="00165E2A"/>
    <w:rsid w:val="00167375"/>
    <w:rsid w:val="001D2E2D"/>
    <w:rsid w:val="001F147B"/>
    <w:rsid w:val="00201E39"/>
    <w:rsid w:val="002B55E4"/>
    <w:rsid w:val="002C47E6"/>
    <w:rsid w:val="002F2453"/>
    <w:rsid w:val="00301656"/>
    <w:rsid w:val="00334AFB"/>
    <w:rsid w:val="00341C43"/>
    <w:rsid w:val="003467E0"/>
    <w:rsid w:val="003D1F93"/>
    <w:rsid w:val="003F552C"/>
    <w:rsid w:val="004328B4"/>
    <w:rsid w:val="004735EE"/>
    <w:rsid w:val="004D61AC"/>
    <w:rsid w:val="004D7BAA"/>
    <w:rsid w:val="004E2452"/>
    <w:rsid w:val="004F13D6"/>
    <w:rsid w:val="005040CB"/>
    <w:rsid w:val="005316F6"/>
    <w:rsid w:val="00581760"/>
    <w:rsid w:val="005A189B"/>
    <w:rsid w:val="005C3737"/>
    <w:rsid w:val="005D0F6B"/>
    <w:rsid w:val="00611AAD"/>
    <w:rsid w:val="00641F6F"/>
    <w:rsid w:val="006C0F31"/>
    <w:rsid w:val="006E3396"/>
    <w:rsid w:val="00716D67"/>
    <w:rsid w:val="007B09CC"/>
    <w:rsid w:val="007B0EB6"/>
    <w:rsid w:val="007E44DC"/>
    <w:rsid w:val="00814494"/>
    <w:rsid w:val="008175E3"/>
    <w:rsid w:val="008369EB"/>
    <w:rsid w:val="00836AC9"/>
    <w:rsid w:val="00861BDF"/>
    <w:rsid w:val="00876B5D"/>
    <w:rsid w:val="008A1302"/>
    <w:rsid w:val="009B690B"/>
    <w:rsid w:val="00A12B8B"/>
    <w:rsid w:val="00A24799"/>
    <w:rsid w:val="00AE1388"/>
    <w:rsid w:val="00B83D27"/>
    <w:rsid w:val="00B91F02"/>
    <w:rsid w:val="00C62C47"/>
    <w:rsid w:val="00C92A46"/>
    <w:rsid w:val="00CC5C48"/>
    <w:rsid w:val="00D20F96"/>
    <w:rsid w:val="00D4467D"/>
    <w:rsid w:val="00D44AA3"/>
    <w:rsid w:val="00D47B78"/>
    <w:rsid w:val="00D56523"/>
    <w:rsid w:val="00D7556A"/>
    <w:rsid w:val="00D8242D"/>
    <w:rsid w:val="00DA1495"/>
    <w:rsid w:val="00E20989"/>
    <w:rsid w:val="00E2436B"/>
    <w:rsid w:val="00E5611E"/>
    <w:rsid w:val="00EB4ECD"/>
    <w:rsid w:val="00EC1074"/>
    <w:rsid w:val="00EC4C47"/>
    <w:rsid w:val="00F0436B"/>
    <w:rsid w:val="00F0637C"/>
    <w:rsid w:val="00F27533"/>
    <w:rsid w:val="00F92E20"/>
    <w:rsid w:val="00FA194A"/>
    <w:rsid w:val="00FB167A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539A"/>
  <w15:chartTrackingRefBased/>
  <w15:docId w15:val="{F5A1A0CE-8E7E-4B99-B095-80B57B4F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4467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2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2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B36B2-C7F4-4280-8387-1786E58C8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A2D0E-D78B-483D-98CF-BC50CEDB8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E91C2-EFFE-4093-970C-76FE2737B7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1365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22</cp:revision>
  <dcterms:created xsi:type="dcterms:W3CDTF">2020-10-19T11:41:00Z</dcterms:created>
  <dcterms:modified xsi:type="dcterms:W3CDTF">2020-10-19T12:26:00Z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