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D26E9" w14:textId="77777777" w:rsidR="007F143F" w:rsidRDefault="007F143F" w:rsidP="0009082D">
      <w:pPr>
        <w:pStyle w:val="Titel"/>
        <w:jc w:val="center"/>
      </w:pPr>
    </w:p>
    <w:p w14:paraId="0E45DD86" w14:textId="77777777" w:rsidR="007F143F" w:rsidRDefault="007F143F" w:rsidP="0009082D">
      <w:pPr>
        <w:pStyle w:val="Titel"/>
        <w:jc w:val="center"/>
      </w:pPr>
    </w:p>
    <w:p w14:paraId="0346D3D3" w14:textId="77777777" w:rsidR="007F143F" w:rsidRDefault="007F143F" w:rsidP="0009082D">
      <w:pPr>
        <w:pStyle w:val="Titel"/>
        <w:jc w:val="center"/>
      </w:pPr>
    </w:p>
    <w:p w14:paraId="55811245" w14:textId="77777777" w:rsidR="007F143F" w:rsidRDefault="007F143F" w:rsidP="0009082D">
      <w:pPr>
        <w:pStyle w:val="Titel"/>
        <w:jc w:val="center"/>
      </w:pPr>
    </w:p>
    <w:p w14:paraId="796A4A78" w14:textId="24BE6303" w:rsidR="0009082D" w:rsidRDefault="0009082D" w:rsidP="0009082D">
      <w:pPr>
        <w:pStyle w:val="Titel"/>
        <w:jc w:val="center"/>
      </w:pPr>
      <w:r>
        <w:t>VEJLEDNING</w:t>
      </w:r>
    </w:p>
    <w:p w14:paraId="7DB7D5C6" w14:textId="77777777" w:rsidR="0009082D" w:rsidRPr="00C57510" w:rsidRDefault="0009082D" w:rsidP="0009082D"/>
    <w:p w14:paraId="10911A9F" w14:textId="2C91A725" w:rsidR="0009082D" w:rsidRDefault="0009082D" w:rsidP="0009082D">
      <w:pPr>
        <w:pStyle w:val="Titel"/>
        <w:jc w:val="center"/>
      </w:pPr>
      <w:r>
        <w:t>OVERFØRSEL AF PERSONOPLYSNINGER TIL TREDJELANDE</w:t>
      </w:r>
    </w:p>
    <w:p w14:paraId="445E86E8" w14:textId="77777777" w:rsidR="0009082D" w:rsidRPr="0025344E" w:rsidRDefault="0009082D">
      <w:pPr>
        <w:rPr>
          <w:sz w:val="24"/>
        </w:rPr>
      </w:pPr>
    </w:p>
    <w:p w14:paraId="049317A5" w14:textId="77777777" w:rsidR="0025344E" w:rsidRDefault="0025344E"/>
    <w:p w14:paraId="19FEC74C" w14:textId="77777777" w:rsidR="0025344E" w:rsidRDefault="0025344E"/>
    <w:p w14:paraId="5E30647B" w14:textId="77777777" w:rsidR="0025344E" w:rsidRDefault="0025344E"/>
    <w:p w14:paraId="018BB388" w14:textId="77777777" w:rsidR="0025344E" w:rsidRDefault="0025344E"/>
    <w:p w14:paraId="67730AA5" w14:textId="77777777" w:rsidR="0025344E" w:rsidRDefault="0025344E"/>
    <w:p w14:paraId="436C5C85" w14:textId="77777777" w:rsidR="0025344E" w:rsidRDefault="0025344E"/>
    <w:p w14:paraId="2F2633EF" w14:textId="77777777" w:rsidR="0025344E" w:rsidRDefault="0025344E"/>
    <w:p w14:paraId="67A31497" w14:textId="77777777" w:rsidR="0025344E" w:rsidRDefault="0025344E"/>
    <w:p w14:paraId="7659CA9B" w14:textId="77777777" w:rsidR="0025344E" w:rsidRDefault="0025344E"/>
    <w:p w14:paraId="6DBE8FC5" w14:textId="77777777" w:rsidR="0025344E" w:rsidRDefault="0025344E"/>
    <w:p w14:paraId="429E7552" w14:textId="77777777" w:rsidR="0025344E" w:rsidRDefault="0025344E"/>
    <w:p w14:paraId="5407B543" w14:textId="77777777" w:rsidR="0025344E" w:rsidRDefault="0025344E"/>
    <w:p w14:paraId="46C1A973" w14:textId="77777777" w:rsidR="0025344E" w:rsidRDefault="0025344E"/>
    <w:p w14:paraId="0E8E8004" w14:textId="77777777" w:rsidR="0025344E" w:rsidRDefault="0025344E"/>
    <w:p w14:paraId="0BD1C7C3" w14:textId="77777777" w:rsidR="0025344E" w:rsidRDefault="0025344E"/>
    <w:p w14:paraId="09E9410F" w14:textId="77777777" w:rsidR="0025344E" w:rsidRDefault="0025344E"/>
    <w:p w14:paraId="54719F49" w14:textId="77777777" w:rsidR="0025344E" w:rsidRDefault="0025344E"/>
    <w:p w14:paraId="09B890F3" w14:textId="77777777" w:rsidR="0025344E" w:rsidRDefault="00B844C6">
      <w:pPr>
        <w:rPr>
          <w:b/>
        </w:rPr>
      </w:pPr>
      <w:r>
        <w:rPr>
          <w:b/>
        </w:rPr>
        <w:lastRenderedPageBreak/>
        <w:t xml:space="preserve">Hvad betyder </w:t>
      </w:r>
      <w:r w:rsidR="0025344E">
        <w:rPr>
          <w:b/>
        </w:rPr>
        <w:t>tredjelandsoverførelser</w:t>
      </w:r>
      <w:r>
        <w:rPr>
          <w:b/>
        </w:rPr>
        <w:t>?</w:t>
      </w:r>
    </w:p>
    <w:p w14:paraId="089D6F55" w14:textId="1CF5A979" w:rsidR="00065B90" w:rsidRDefault="00065B90" w:rsidP="00065B90">
      <w:r>
        <w:t>Hvis personoplysninger overføres til et land</w:t>
      </w:r>
      <w:r w:rsidR="00CB3141">
        <w:t>,</w:t>
      </w:r>
      <w:r>
        <w:t xml:space="preserve"> </w:t>
      </w:r>
      <w:r w:rsidR="007328F5">
        <w:t xml:space="preserve">der </w:t>
      </w:r>
      <w:r w:rsidR="00CB3141">
        <w:t>ligger</w:t>
      </w:r>
      <w:r w:rsidR="007328F5">
        <w:t xml:space="preserve"> </w:t>
      </w:r>
      <w:r>
        <w:t>udenfor EU</w:t>
      </w:r>
      <w:r w:rsidR="007328F5">
        <w:t xml:space="preserve"> eller EØS (Island, Liechtenstein og Norge)</w:t>
      </w:r>
      <w:r>
        <w:t xml:space="preserve">, overføres oplysninger til et såkaldt tredjeland. Hvis man overfører personoplysninger til et tredjeland, </w:t>
      </w:r>
      <w:r w:rsidR="00F01D2D">
        <w:t xml:space="preserve">findes </w:t>
      </w:r>
      <w:r>
        <w:t xml:space="preserve">der særlige regler som skal </w:t>
      </w:r>
      <w:r w:rsidR="003902F5">
        <w:t xml:space="preserve">tilgodeses </w:t>
      </w:r>
      <w:r>
        <w:t xml:space="preserve">efter </w:t>
      </w:r>
      <w:r w:rsidR="00695343">
        <w:t>Databeskyttelsesforordningen</w:t>
      </w:r>
      <w:r>
        <w:t xml:space="preserve">.  </w:t>
      </w:r>
    </w:p>
    <w:p w14:paraId="1AC4B412" w14:textId="3D168928" w:rsidR="00065B90" w:rsidRDefault="00065B90" w:rsidP="00065B90">
      <w:r>
        <w:t xml:space="preserve">Formålet med disse særlige regler er at sikre den registrerede sine rettigheder, selvom dennes personoplysninger overføres til et land som ikke er med i EU og som ikke er forpligtigede efter </w:t>
      </w:r>
      <w:r w:rsidR="00695343">
        <w:t>Databeskyttelsesforordningen</w:t>
      </w:r>
      <w:r>
        <w:t xml:space="preserve">. </w:t>
      </w:r>
    </w:p>
    <w:p w14:paraId="073CE61E" w14:textId="77777777" w:rsidR="00B844C6" w:rsidRDefault="00065B90" w:rsidP="00065B90">
      <w:r w:rsidRPr="00BC6DC0">
        <w:t>En overførsel</w:t>
      </w:r>
      <w:r>
        <w:t xml:space="preserve"> til et tredjeland</w:t>
      </w:r>
      <w:r w:rsidRPr="00BC6DC0">
        <w:t xml:space="preserve"> i forordningens forstand dækker over </w:t>
      </w:r>
      <w:r>
        <w:t xml:space="preserve">flere situationer. </w:t>
      </w:r>
    </w:p>
    <w:p w14:paraId="4654BCA1" w14:textId="553F625D" w:rsidR="0025344E" w:rsidRDefault="00F013FD">
      <w:r>
        <w:t xml:space="preserve">Overførsel til et tredjeland </w:t>
      </w:r>
      <w:r w:rsidR="006812B6">
        <w:t>foretages, h</w:t>
      </w:r>
      <w:r w:rsidR="00065B90">
        <w:t xml:space="preserve">vis </w:t>
      </w:r>
      <w:r w:rsidR="00065B90" w:rsidRPr="00BC6DC0">
        <w:t xml:space="preserve">en dataansvarlig </w:t>
      </w:r>
      <w:r w:rsidR="00065B90">
        <w:t xml:space="preserve">i EU </w:t>
      </w:r>
      <w:r w:rsidR="00065B90" w:rsidRPr="00BC6DC0">
        <w:t>videregiver personoplysninger til en anden dataansvarlig</w:t>
      </w:r>
      <w:r w:rsidR="00065B90">
        <w:t xml:space="preserve"> uden for EU, eller hvis en dataansvarlig eller en databehandler overlader en behandling af personoplysninger til en databehandler som </w:t>
      </w:r>
      <w:r w:rsidR="004460D1">
        <w:t xml:space="preserve">ligger </w:t>
      </w:r>
      <w:r w:rsidR="00065B90">
        <w:t>uden for EU. En overførsel er ikke kun en elektronisk transmission af oplysninger, men kan også bestå i</w:t>
      </w:r>
      <w:r w:rsidR="00155A47">
        <w:t>,</w:t>
      </w:r>
      <w:r w:rsidR="00065B90">
        <w:t xml:space="preserve"> at personer/virksomheder i et tredjeland f</w:t>
      </w:r>
      <w:r w:rsidR="00155A47">
        <w:t>å</w:t>
      </w:r>
      <w:r w:rsidR="00065B90">
        <w:t xml:space="preserve">r adgang til at se personoplysningen. </w:t>
      </w:r>
    </w:p>
    <w:p w14:paraId="3BD53B04" w14:textId="77777777" w:rsidR="00B844C6" w:rsidRPr="00B844C6" w:rsidRDefault="00B844C6"/>
    <w:p w14:paraId="7E45C9B6" w14:textId="77777777" w:rsidR="0025344E" w:rsidRDefault="0025344E">
      <w:pPr>
        <w:rPr>
          <w:b/>
        </w:rPr>
      </w:pPr>
      <w:r>
        <w:rPr>
          <w:b/>
        </w:rPr>
        <w:t>Overførsel</w:t>
      </w:r>
      <w:r w:rsidR="004644FC">
        <w:rPr>
          <w:b/>
        </w:rPr>
        <w:t xml:space="preserve"> af personoplysninger</w:t>
      </w:r>
      <w:r>
        <w:rPr>
          <w:b/>
        </w:rPr>
        <w:t xml:space="preserve"> til </w:t>
      </w:r>
      <w:r w:rsidRPr="00B844C6">
        <w:rPr>
          <w:b/>
          <w:u w:val="single"/>
        </w:rPr>
        <w:t xml:space="preserve">sikre </w:t>
      </w:r>
      <w:r w:rsidR="00065B90">
        <w:rPr>
          <w:b/>
        </w:rPr>
        <w:t>tredjelande</w:t>
      </w:r>
      <w:r>
        <w:rPr>
          <w:b/>
        </w:rPr>
        <w:t xml:space="preserve"> </w:t>
      </w:r>
    </w:p>
    <w:p w14:paraId="56585356" w14:textId="6F7427C2" w:rsidR="007328F5" w:rsidRDefault="00B844C6" w:rsidP="00B844C6">
      <w:r>
        <w:rPr>
          <w:color w:val="000000" w:themeColor="text1"/>
        </w:rPr>
        <w:t xml:space="preserve">I forhold til tredjelande, skelnes </w:t>
      </w:r>
      <w:r w:rsidR="000C1F22">
        <w:rPr>
          <w:color w:val="000000" w:themeColor="text1"/>
        </w:rPr>
        <w:t xml:space="preserve">der </w:t>
      </w:r>
      <w:r>
        <w:rPr>
          <w:color w:val="000000" w:themeColor="text1"/>
        </w:rPr>
        <w:t>normalt mellem sikre og usikre tredjelande</w:t>
      </w:r>
      <w:r w:rsidR="007328F5">
        <w:rPr>
          <w:color w:val="000000" w:themeColor="text1"/>
        </w:rPr>
        <w:t xml:space="preserve"> eller internationale organisationer</w:t>
      </w:r>
      <w:r>
        <w:rPr>
          <w:color w:val="000000" w:themeColor="text1"/>
        </w:rPr>
        <w:t>. De</w:t>
      </w:r>
      <w:r w:rsidR="000C1F22">
        <w:rPr>
          <w:color w:val="000000" w:themeColor="text1"/>
        </w:rPr>
        <w:t>r</w:t>
      </w:r>
      <w:r>
        <w:rPr>
          <w:color w:val="000000" w:themeColor="text1"/>
        </w:rPr>
        <w:t xml:space="preserve"> er flere krav ved overførsel til et usikkert tredjeland</w:t>
      </w:r>
      <w:r w:rsidR="000C1F22">
        <w:rPr>
          <w:color w:val="000000" w:themeColor="text1"/>
        </w:rPr>
        <w:t>,</w:t>
      </w:r>
      <w:r>
        <w:rPr>
          <w:color w:val="000000" w:themeColor="text1"/>
        </w:rPr>
        <w:t xml:space="preserve"> end der er for overførsel til sikre tredjelande.</w:t>
      </w:r>
    </w:p>
    <w:p w14:paraId="1581ECC7" w14:textId="6B2BAB23" w:rsidR="00287388" w:rsidRDefault="00B844C6" w:rsidP="00B844C6">
      <w:r>
        <w:t>Hvis der er tale om et sikkert tredjeland, kan personoplysninger overføres</w:t>
      </w:r>
      <w:r w:rsidR="00287388">
        <w:t xml:space="preserve"> til disse lande</w:t>
      </w:r>
      <w:r>
        <w:t xml:space="preserve"> uden særlig</w:t>
      </w:r>
      <w:r w:rsidR="00F07A22">
        <w:t>e</w:t>
      </w:r>
      <w:r>
        <w:t xml:space="preserve"> godkendelse</w:t>
      </w:r>
      <w:r w:rsidR="00F07A22">
        <w:t>r</w:t>
      </w:r>
      <w:r w:rsidR="007328F5">
        <w:t xml:space="preserve"> eller særlig</w:t>
      </w:r>
      <w:r w:rsidR="00287388">
        <w:t>t stillede</w:t>
      </w:r>
      <w:r w:rsidR="007328F5">
        <w:t xml:space="preserve"> garantier</w:t>
      </w:r>
      <w:r>
        <w:t>.</w:t>
      </w:r>
    </w:p>
    <w:p w14:paraId="34653C4D" w14:textId="4BEB65DD" w:rsidR="00287388" w:rsidRDefault="00B844C6" w:rsidP="0060766B">
      <w:r>
        <w:t>Hvilke lande der er sikre tredjelande afgøres af EU-Kommissionen.</w:t>
      </w:r>
      <w:r w:rsidR="00287388">
        <w:t xml:space="preserve"> Denne vurdering bygger på</w:t>
      </w:r>
      <w:r w:rsidR="00B56FD6">
        <w:t>,</w:t>
      </w:r>
      <w:r w:rsidR="00287388">
        <w:t xml:space="preserve"> om vedkommende lands beskyttelsesniveau</w:t>
      </w:r>
      <w:r w:rsidR="009816D9">
        <w:t xml:space="preserve"> i det væsentligste svarer til det beskyttelsesniveau som gælder i EU. </w:t>
      </w:r>
      <w:r w:rsidR="004B235C">
        <w:t xml:space="preserve">Yderligere er det et krav at </w:t>
      </w:r>
      <w:r w:rsidR="00EB22F0">
        <w:t>videreoverførs</w:t>
      </w:r>
      <w:r w:rsidR="00F00B4E">
        <w:t>ler</w:t>
      </w:r>
      <w:r w:rsidR="00EB22F0">
        <w:t xml:space="preserve"> er regulere</w:t>
      </w:r>
      <w:r w:rsidR="00F00B4E">
        <w:t>de</w:t>
      </w:r>
      <w:r w:rsidR="00EB22F0">
        <w:t>. Den generelle rets kultur bliver taget i betragtning</w:t>
      </w:r>
      <w:r w:rsidR="00174A12">
        <w:t xml:space="preserve"> sammen med</w:t>
      </w:r>
      <w:r w:rsidR="00C31024">
        <w:t xml:space="preserve"> </w:t>
      </w:r>
      <w:r w:rsidR="00205AE6">
        <w:t>en vurdering</w:t>
      </w:r>
      <w:r w:rsidR="00EB22F0">
        <w:t xml:space="preserve"> </w:t>
      </w:r>
      <w:r w:rsidR="0084173E">
        <w:t xml:space="preserve">af, hvorvidt </w:t>
      </w:r>
      <w:r w:rsidR="00EB22F0">
        <w:t>det pågældende tredjeland har påtaget sig internationale forpligtigelser.</w:t>
      </w:r>
    </w:p>
    <w:p w14:paraId="2AC71DAE" w14:textId="11509BC3" w:rsidR="009816D9" w:rsidRDefault="009816D9" w:rsidP="00B844C6">
      <w:r>
        <w:t>Når EU-</w:t>
      </w:r>
      <w:r w:rsidR="00C725A0">
        <w:t>K</w:t>
      </w:r>
      <w:r>
        <w:t>ommissionen har truffet afgørelse om at et tredjeland eller en organisation er sikkert, betyder det</w:t>
      </w:r>
      <w:r w:rsidR="00AB26CD">
        <w:t>,</w:t>
      </w:r>
      <w:r>
        <w:t xml:space="preserve"> at der kan overføres </w:t>
      </w:r>
      <w:r w:rsidR="0029435D">
        <w:t>personoplysninger til</w:t>
      </w:r>
      <w:r>
        <w:t xml:space="preserve"> modtagere i de pågældende </w:t>
      </w:r>
      <w:r w:rsidR="0029435D">
        <w:t>lande</w:t>
      </w:r>
      <w:r>
        <w:t xml:space="preserve"> eller den pågældende organisation.</w:t>
      </w:r>
      <w:r w:rsidR="0029435D">
        <w:t xml:space="preserve"> Dette gælder dog under forudsætninger af, at forordningen</w:t>
      </w:r>
      <w:r w:rsidR="00116685">
        <w:t>s</w:t>
      </w:r>
      <w:r w:rsidR="0029435D">
        <w:t xml:space="preserve"> øvrige regler overholdes. </w:t>
      </w:r>
    </w:p>
    <w:p w14:paraId="33CA6F88" w14:textId="71F1E5A6" w:rsidR="00B844C6" w:rsidRDefault="00B844C6" w:rsidP="00B844C6">
      <w:r>
        <w:t xml:space="preserve">Nedenstående lande er på nuværende tidspunkt </w:t>
      </w:r>
      <w:r w:rsidR="0029435D">
        <w:t>vurderet</w:t>
      </w:r>
      <w:r>
        <w:t xml:space="preserve"> som </w:t>
      </w:r>
      <w:r w:rsidR="00355848">
        <w:t xml:space="preserve">værende </w:t>
      </w:r>
      <w:r>
        <w:t>sikre tredjelande</w:t>
      </w:r>
      <w:r w:rsidR="000146E7" w:rsidRPr="000146E7">
        <w:t xml:space="preserve"> </w:t>
      </w:r>
      <w:r w:rsidR="000146E7">
        <w:t>af EU-</w:t>
      </w:r>
      <w:r w:rsidR="00C725A0">
        <w:t>K</w:t>
      </w:r>
      <w:r w:rsidR="000146E7">
        <w:t>ommissionen</w:t>
      </w:r>
      <w:r>
        <w:t xml:space="preserve">: </w:t>
      </w:r>
    </w:p>
    <w:p w14:paraId="78258DA5" w14:textId="77777777" w:rsidR="00B844C6" w:rsidRDefault="00B844C6" w:rsidP="00B844C6">
      <w:pPr>
        <w:pStyle w:val="Listeafsnit"/>
        <w:numPr>
          <w:ilvl w:val="0"/>
          <w:numId w:val="1"/>
        </w:numPr>
        <w:tabs>
          <w:tab w:val="left" w:pos="1815"/>
        </w:tabs>
      </w:pPr>
      <w:r>
        <w:t xml:space="preserve">Andorra </w:t>
      </w:r>
    </w:p>
    <w:p w14:paraId="53B7D998" w14:textId="77777777" w:rsidR="00B844C6" w:rsidRDefault="00B844C6" w:rsidP="00B844C6">
      <w:pPr>
        <w:pStyle w:val="Listeafsnit"/>
        <w:numPr>
          <w:ilvl w:val="0"/>
          <w:numId w:val="1"/>
        </w:numPr>
        <w:tabs>
          <w:tab w:val="left" w:pos="1815"/>
        </w:tabs>
      </w:pPr>
      <w:r>
        <w:t xml:space="preserve">Argentina </w:t>
      </w:r>
    </w:p>
    <w:p w14:paraId="4F23705D" w14:textId="77777777" w:rsidR="00B844C6" w:rsidRDefault="00B844C6" w:rsidP="00B844C6">
      <w:pPr>
        <w:pStyle w:val="Listeafsnit"/>
        <w:numPr>
          <w:ilvl w:val="0"/>
          <w:numId w:val="1"/>
        </w:numPr>
        <w:tabs>
          <w:tab w:val="left" w:pos="1815"/>
        </w:tabs>
      </w:pPr>
      <w:r>
        <w:t xml:space="preserve">Schweiz </w:t>
      </w:r>
    </w:p>
    <w:p w14:paraId="1D9A78F4" w14:textId="77777777" w:rsidR="00B844C6" w:rsidRDefault="00B844C6" w:rsidP="00B844C6">
      <w:pPr>
        <w:pStyle w:val="Listeafsnit"/>
        <w:numPr>
          <w:ilvl w:val="0"/>
          <w:numId w:val="1"/>
        </w:numPr>
        <w:tabs>
          <w:tab w:val="left" w:pos="1815"/>
        </w:tabs>
      </w:pPr>
      <w:r>
        <w:t xml:space="preserve">Isle of Man </w:t>
      </w:r>
    </w:p>
    <w:p w14:paraId="4A1EE1F6" w14:textId="77777777" w:rsidR="00B844C6" w:rsidRDefault="00B844C6" w:rsidP="00B844C6">
      <w:pPr>
        <w:pStyle w:val="Listeafsnit"/>
        <w:numPr>
          <w:ilvl w:val="0"/>
          <w:numId w:val="1"/>
        </w:numPr>
        <w:tabs>
          <w:tab w:val="left" w:pos="1815"/>
        </w:tabs>
      </w:pPr>
      <w:r>
        <w:t xml:space="preserve">Guernsey </w:t>
      </w:r>
    </w:p>
    <w:p w14:paraId="1DCF727C" w14:textId="77777777" w:rsidR="00B844C6" w:rsidRDefault="00B844C6" w:rsidP="00B844C6">
      <w:pPr>
        <w:pStyle w:val="Listeafsnit"/>
        <w:numPr>
          <w:ilvl w:val="0"/>
          <w:numId w:val="1"/>
        </w:numPr>
        <w:tabs>
          <w:tab w:val="left" w:pos="1815"/>
        </w:tabs>
      </w:pPr>
      <w:r>
        <w:t xml:space="preserve">Israel </w:t>
      </w:r>
    </w:p>
    <w:p w14:paraId="3A67C9E7" w14:textId="77777777" w:rsidR="00B844C6" w:rsidRDefault="00B844C6" w:rsidP="00B844C6">
      <w:pPr>
        <w:pStyle w:val="Listeafsnit"/>
        <w:numPr>
          <w:ilvl w:val="0"/>
          <w:numId w:val="1"/>
        </w:numPr>
        <w:tabs>
          <w:tab w:val="left" w:pos="1815"/>
        </w:tabs>
      </w:pPr>
      <w:r>
        <w:t xml:space="preserve">Jersey </w:t>
      </w:r>
    </w:p>
    <w:p w14:paraId="3AB96801" w14:textId="77777777" w:rsidR="00B844C6" w:rsidRDefault="00B844C6" w:rsidP="00B844C6">
      <w:pPr>
        <w:pStyle w:val="Listeafsnit"/>
        <w:numPr>
          <w:ilvl w:val="0"/>
          <w:numId w:val="1"/>
        </w:numPr>
        <w:tabs>
          <w:tab w:val="left" w:pos="1815"/>
        </w:tabs>
      </w:pPr>
      <w:r>
        <w:t xml:space="preserve">New Zealand </w:t>
      </w:r>
    </w:p>
    <w:p w14:paraId="75D7B3F8" w14:textId="77777777" w:rsidR="00B844C6" w:rsidRDefault="00B844C6" w:rsidP="00B844C6">
      <w:pPr>
        <w:pStyle w:val="Listeafsnit"/>
        <w:numPr>
          <w:ilvl w:val="0"/>
          <w:numId w:val="1"/>
        </w:numPr>
        <w:tabs>
          <w:tab w:val="left" w:pos="1815"/>
        </w:tabs>
      </w:pPr>
      <w:r>
        <w:t xml:space="preserve">Færøerne </w:t>
      </w:r>
    </w:p>
    <w:p w14:paraId="6F20277A" w14:textId="7DE09B09" w:rsidR="00B844C6" w:rsidRDefault="00B844C6" w:rsidP="00B844C6">
      <w:pPr>
        <w:pStyle w:val="Listeafsnit"/>
        <w:numPr>
          <w:ilvl w:val="0"/>
          <w:numId w:val="1"/>
        </w:numPr>
        <w:tabs>
          <w:tab w:val="left" w:pos="1815"/>
        </w:tabs>
      </w:pPr>
      <w:r>
        <w:lastRenderedPageBreak/>
        <w:t xml:space="preserve">Uruguay </w:t>
      </w:r>
    </w:p>
    <w:p w14:paraId="39A7344F" w14:textId="0DC58388" w:rsidR="00EA2B85" w:rsidRDefault="00934306" w:rsidP="00EA2B85">
      <w:pPr>
        <w:pStyle w:val="Listeafsnit"/>
        <w:numPr>
          <w:ilvl w:val="0"/>
          <w:numId w:val="1"/>
        </w:numPr>
        <w:tabs>
          <w:tab w:val="left" w:pos="1815"/>
        </w:tabs>
      </w:pPr>
      <w:r>
        <w:t>Japan</w:t>
      </w:r>
    </w:p>
    <w:p w14:paraId="6D53BA6A" w14:textId="31D6437F" w:rsidR="00EA2B85" w:rsidRDefault="00EA2B85" w:rsidP="00EA2B85">
      <w:pPr>
        <w:tabs>
          <w:tab w:val="left" w:pos="1815"/>
        </w:tabs>
      </w:pPr>
      <w:r>
        <w:t>EU-</w:t>
      </w:r>
      <w:r w:rsidR="00C725A0">
        <w:t>K</w:t>
      </w:r>
      <w:r>
        <w:t xml:space="preserve">ommissionen </w:t>
      </w:r>
      <w:r w:rsidR="00D94B9E">
        <w:t xml:space="preserve">vurderer løbende, hvorvidt andre lande kan </w:t>
      </w:r>
      <w:r w:rsidR="004B6322">
        <w:t>godkendes som sikre tredjelande.</w:t>
      </w:r>
    </w:p>
    <w:p w14:paraId="3F977339" w14:textId="77777777" w:rsidR="0029435D" w:rsidRDefault="0029435D">
      <w:pPr>
        <w:rPr>
          <w:b/>
        </w:rPr>
      </w:pPr>
    </w:p>
    <w:p w14:paraId="302C2DF2" w14:textId="77777777" w:rsidR="00EB22F0" w:rsidRDefault="00EB22F0" w:rsidP="0029435D">
      <w:pPr>
        <w:rPr>
          <w:b/>
        </w:rPr>
      </w:pPr>
      <w:r>
        <w:rPr>
          <w:b/>
        </w:rPr>
        <w:t>Overførsel</w:t>
      </w:r>
      <w:r w:rsidR="004644FC">
        <w:rPr>
          <w:b/>
        </w:rPr>
        <w:t xml:space="preserve"> af </w:t>
      </w:r>
      <w:r w:rsidR="007C31FF">
        <w:rPr>
          <w:b/>
        </w:rPr>
        <w:t>personoplysninger</w:t>
      </w:r>
      <w:r>
        <w:rPr>
          <w:b/>
        </w:rPr>
        <w:t xml:space="preserve"> </w:t>
      </w:r>
      <w:r w:rsidR="004644FC">
        <w:rPr>
          <w:b/>
        </w:rPr>
        <w:t xml:space="preserve">til </w:t>
      </w:r>
      <w:r w:rsidR="004644FC" w:rsidRPr="007C31FF">
        <w:rPr>
          <w:b/>
          <w:u w:val="single"/>
        </w:rPr>
        <w:t>usikre</w:t>
      </w:r>
      <w:r w:rsidR="004644FC">
        <w:rPr>
          <w:b/>
        </w:rPr>
        <w:t xml:space="preserve"> tredjelande </w:t>
      </w:r>
    </w:p>
    <w:p w14:paraId="29EB6765" w14:textId="6803F5C8" w:rsidR="0029435D" w:rsidRDefault="0029435D" w:rsidP="0029435D">
      <w:r>
        <w:t>Overførelse af personoplysninger til et tredjeland eller en organisation</w:t>
      </w:r>
      <w:r w:rsidR="005A7C22">
        <w:t>,</w:t>
      </w:r>
      <w:r>
        <w:t xml:space="preserve"> som ikke er godkendt som et sikkert tredjeland, vi</w:t>
      </w:r>
      <w:r w:rsidR="002867D2">
        <w:t>l</w:t>
      </w:r>
      <w:r>
        <w:t xml:space="preserve"> være overførsel til et </w:t>
      </w:r>
      <w:r w:rsidR="002867D2">
        <w:t xml:space="preserve">usikkert tredjeland, eller en international organisation, som ikke kan sikre en tilstrækkelig beskyttelse af personoplysninger. </w:t>
      </w:r>
    </w:p>
    <w:p w14:paraId="46EA564C" w14:textId="3611700B" w:rsidR="004644FC" w:rsidRDefault="004644FC" w:rsidP="0029435D">
      <w:r>
        <w:t>Det er ikke udelukket</w:t>
      </w:r>
      <w:r w:rsidR="00907B6C">
        <w:t>,</w:t>
      </w:r>
      <w:r>
        <w:t xml:space="preserve"> at der kan ske overførsel af personoplysninger til et sådant land eller en sådan organisation, da der består en samfundsmæssig interesse i, at personoplysninger kan anvendes og overføres globalt. </w:t>
      </w:r>
    </w:p>
    <w:p w14:paraId="26FD7BD3" w14:textId="50BBB7AB" w:rsidR="0029435D" w:rsidRDefault="002867D2" w:rsidP="0029435D">
      <w:r>
        <w:t>Hvis man ønsker at overføre personoplysninger til sådanne lande eller organisationer, kræves det</w:t>
      </w:r>
      <w:r w:rsidR="007808D0">
        <w:t>,</w:t>
      </w:r>
      <w:r w:rsidR="004644FC">
        <w:t xml:space="preserve"> </w:t>
      </w:r>
      <w:r>
        <w:t xml:space="preserve">at der stilles nogle særlige garantier. </w:t>
      </w:r>
    </w:p>
    <w:p w14:paraId="65841BCD" w14:textId="32AF15C2" w:rsidR="0029435D" w:rsidRDefault="0029435D" w:rsidP="0029435D">
      <w:r>
        <w:t>Disse garantier skal stilles af den, som eksportere</w:t>
      </w:r>
      <w:r w:rsidR="002C5FB0">
        <w:t>r</w:t>
      </w:r>
      <w:r>
        <w:t xml:space="preserve"> personoplysninger – enten den dataansvarlige eller databehandleren. En sådan garanti kan f.eks. stilles ved en kontrakt mellem dataeksportøren (den dataansvarlige eller </w:t>
      </w:r>
      <w:r w:rsidR="00F21469">
        <w:t>data</w:t>
      </w:r>
      <w:r>
        <w:t xml:space="preserve">behandleren i et EU-land) og dataimportøren (i et tredjeland). </w:t>
      </w:r>
    </w:p>
    <w:p w14:paraId="182B729F" w14:textId="0AC4D2DE" w:rsidR="00172175" w:rsidRDefault="0029435D" w:rsidP="0029435D">
      <w:r>
        <w:t>En dataeksportør har flere muligheder for at give d</w:t>
      </w:r>
      <w:r w:rsidR="00172175">
        <w:t>isse</w:t>
      </w:r>
      <w:r>
        <w:t xml:space="preserve"> nødvendige garantier ved overførsel til et usikkert tredjeland</w:t>
      </w:r>
      <w:r w:rsidR="00172175">
        <w:t xml:space="preserve"> eller</w:t>
      </w:r>
      <w:r w:rsidR="00E43D55">
        <w:t xml:space="preserve"> en</w:t>
      </w:r>
      <w:r w:rsidR="00172175">
        <w:t xml:space="preserve"> international organisation, som ikke sikre</w:t>
      </w:r>
      <w:r w:rsidR="008D66FB">
        <w:t>r</w:t>
      </w:r>
      <w:r w:rsidR="00172175">
        <w:t xml:space="preserve"> det tilstrækkelige beskyttelsesniveau</w:t>
      </w:r>
      <w:r w:rsidR="00E43D55">
        <w:t>.</w:t>
      </w:r>
    </w:p>
    <w:p w14:paraId="55D90DDC" w14:textId="712BC657" w:rsidR="00172175" w:rsidRDefault="00172175" w:rsidP="0029435D">
      <w:r>
        <w:t>Der er i forordningen givet fem</w:t>
      </w:r>
      <w:r w:rsidR="006C5168">
        <w:t xml:space="preserve"> forskellige</w:t>
      </w:r>
      <w:r>
        <w:t xml:space="preserve"> muligheder for</w:t>
      </w:r>
      <w:r w:rsidR="00E96CCA">
        <w:t>,</w:t>
      </w:r>
      <w:r>
        <w:t xml:space="preserve"> </w:t>
      </w:r>
      <w:r w:rsidR="006C5168">
        <w:t xml:space="preserve">hvordan man kan give de </w:t>
      </w:r>
      <w:r>
        <w:t>fornødne garantier i forbindelse med overførsel</w:t>
      </w:r>
      <w:r w:rsidR="0042754A">
        <w:t xml:space="preserve"> af personoplysninger til et usikkert tredjeland</w:t>
      </w:r>
      <w:r>
        <w:t xml:space="preserve">. </w:t>
      </w:r>
    </w:p>
    <w:p w14:paraId="02F5916F" w14:textId="77777777" w:rsidR="006C5168" w:rsidRDefault="006C5168" w:rsidP="0029435D"/>
    <w:p w14:paraId="21D90101" w14:textId="77777777" w:rsidR="0029435D" w:rsidRPr="00C728DE" w:rsidRDefault="006C5168" w:rsidP="00C728DE">
      <w:pPr>
        <w:pStyle w:val="Listeafsnit"/>
        <w:numPr>
          <w:ilvl w:val="0"/>
          <w:numId w:val="3"/>
        </w:numPr>
        <w:rPr>
          <w:u w:val="single"/>
        </w:rPr>
      </w:pPr>
      <w:r w:rsidRPr="00C728DE">
        <w:rPr>
          <w:u w:val="single"/>
        </w:rPr>
        <w:t xml:space="preserve">Retlig bindende instrumenter  </w:t>
      </w:r>
    </w:p>
    <w:p w14:paraId="1D084741" w14:textId="3764E7B3" w:rsidR="006C5168" w:rsidRDefault="006C5168" w:rsidP="006C5168">
      <w:r>
        <w:t xml:space="preserve">Der er mulighed for at overføre personoplysninger </w:t>
      </w:r>
      <w:r w:rsidR="00922A7C">
        <w:t>mellem offentlige myndighed</w:t>
      </w:r>
      <w:r w:rsidR="00E43D55">
        <w:t>er</w:t>
      </w:r>
      <w:r w:rsidR="00922A7C">
        <w:t xml:space="preserve"> eller </w:t>
      </w:r>
      <w:r w:rsidR="0045676D">
        <w:t>organer</w:t>
      </w:r>
      <w:r w:rsidR="00801B98">
        <w:t>,</w:t>
      </w:r>
      <w:r w:rsidR="0045676D">
        <w:t xml:space="preserve"> </w:t>
      </w:r>
      <w:r>
        <w:t>hvis der foreligger retligt bindende aftaler, som forpligter tredjelandet</w:t>
      </w:r>
      <w:r w:rsidR="00922A7C">
        <w:t xml:space="preserve"> eller den internationale organisation</w:t>
      </w:r>
      <w:r>
        <w:t xml:space="preserve"> til at overholde datasikkerheden efter GDPR. Sådanne aftaler kan forekomme inden for forskellige områder. </w:t>
      </w:r>
    </w:p>
    <w:p w14:paraId="61A24275" w14:textId="305D02E9" w:rsidR="006C5168" w:rsidRDefault="006C5168" w:rsidP="006C5168">
      <w:r>
        <w:t xml:space="preserve">Det er her afgørende om aftalen/instrumentet er retligt bindende eller ej. Hvis et tredjeland er retligt bundet af en aftale, kan personoplysninger overføres til tredjelandet uden særlig godkendelse fra </w:t>
      </w:r>
      <w:r w:rsidR="008A7736">
        <w:t>D</w:t>
      </w:r>
      <w:r>
        <w:t xml:space="preserve">atatilsynet. </w:t>
      </w:r>
    </w:p>
    <w:p w14:paraId="28DC6509" w14:textId="12072812" w:rsidR="006C5168" w:rsidRDefault="006C5168" w:rsidP="006C5168">
      <w:r>
        <w:t xml:space="preserve">Hvis der foreligger </w:t>
      </w:r>
      <w:r w:rsidR="00A01502">
        <w:t xml:space="preserve">et </w:t>
      </w:r>
      <w:r>
        <w:t>instrument</w:t>
      </w:r>
      <w:r w:rsidR="00A01502">
        <w:t xml:space="preserve"> eller en</w:t>
      </w:r>
      <w:r w:rsidR="00451A0E">
        <w:t xml:space="preserve"> </w:t>
      </w:r>
      <w:r>
        <w:t xml:space="preserve">aftale, der ikke er retligt bindende, skal </w:t>
      </w:r>
      <w:r w:rsidR="00232DBD">
        <w:t>overførslen</w:t>
      </w:r>
      <w:r>
        <w:t xml:space="preserve"> af personoplysninger godkendes af den kompetente tilsynsmyndighed (</w:t>
      </w:r>
      <w:r w:rsidR="000469A8">
        <w:t>D</w:t>
      </w:r>
      <w:r>
        <w:t>atatilsynet) førend at oplysningerne kan overføres.</w:t>
      </w:r>
    </w:p>
    <w:p w14:paraId="2A1CDEA4" w14:textId="77777777" w:rsidR="006C5168" w:rsidRDefault="006C5168" w:rsidP="0029435D">
      <w:pPr>
        <w:rPr>
          <w:u w:val="single"/>
        </w:rPr>
      </w:pPr>
    </w:p>
    <w:p w14:paraId="30960149" w14:textId="77777777" w:rsidR="006C5168" w:rsidRPr="00C3403F" w:rsidRDefault="006C5168" w:rsidP="00C3403F">
      <w:pPr>
        <w:pStyle w:val="Listeafsnit"/>
        <w:numPr>
          <w:ilvl w:val="0"/>
          <w:numId w:val="3"/>
        </w:numPr>
        <w:rPr>
          <w:u w:val="single"/>
        </w:rPr>
      </w:pPr>
      <w:r w:rsidRPr="00C3403F">
        <w:rPr>
          <w:u w:val="single"/>
        </w:rPr>
        <w:t xml:space="preserve">Bindende virksomhedsregler </w:t>
      </w:r>
    </w:p>
    <w:p w14:paraId="05BC20D8" w14:textId="77777777" w:rsidR="006C5168" w:rsidRDefault="006C5168" w:rsidP="006C5168">
      <w:r>
        <w:t>Der er ligeledes mulighed for at overføre personoplysninger til et usikkert tredjeland</w:t>
      </w:r>
      <w:r w:rsidR="00C3403F">
        <w:t xml:space="preserve"> eller en international organisation</w:t>
      </w:r>
      <w:r>
        <w:t xml:space="preserve">, hvis der foreligger bindende virksomhedsregler om beskyttelse af personoplysninger, der forpligter dataimportøren. </w:t>
      </w:r>
    </w:p>
    <w:p w14:paraId="1D44B159" w14:textId="5222B9EA" w:rsidR="006C5168" w:rsidRDefault="006C5168" w:rsidP="006C5168">
      <w:r>
        <w:lastRenderedPageBreak/>
        <w:t>Bindende virksomhedsregler er regler, som en virksomhed fastsætter om databeskyttelse. Hvis en virksomhed har fastsat, og fået godkendt reglerne af den kompetente tilsynsmyndighed (</w:t>
      </w:r>
      <w:r w:rsidR="000B72A6">
        <w:t>D</w:t>
      </w:r>
      <w:r>
        <w:t xml:space="preserve">atatilsynet), kan der frit overføres personoplysninger til usikre tredjelande, hvis virksomheden i tredjelandet er en del af koncernen eller </w:t>
      </w:r>
      <w:r w:rsidR="00D24454">
        <w:t>flere foretagender</w:t>
      </w:r>
      <w:r>
        <w:t xml:space="preserve">, der </w:t>
      </w:r>
      <w:r w:rsidR="00DB4763">
        <w:t xml:space="preserve">sammen </w:t>
      </w:r>
      <w:r w:rsidR="00B14E8C">
        <w:t>forestå</w:t>
      </w:r>
      <w:r w:rsidR="008A638E">
        <w:t>r</w:t>
      </w:r>
      <w:r w:rsidR="00DB4763">
        <w:t xml:space="preserve"> </w:t>
      </w:r>
      <w:r>
        <w:t>økonomisk</w:t>
      </w:r>
      <w:r w:rsidR="00F2063E">
        <w:t>e</w:t>
      </w:r>
      <w:r>
        <w:t xml:space="preserve"> aktivitet</w:t>
      </w:r>
      <w:r w:rsidR="00A6774A">
        <w:t>er</w:t>
      </w:r>
      <w:r>
        <w:t xml:space="preserve">, og på den måde er bundet af </w:t>
      </w:r>
      <w:r w:rsidR="00D15439">
        <w:t xml:space="preserve">de gældende </w:t>
      </w:r>
      <w:r>
        <w:t>virksomhedsregler.</w:t>
      </w:r>
    </w:p>
    <w:p w14:paraId="6F54639E" w14:textId="19433235" w:rsidR="006C5168" w:rsidRDefault="006C5168" w:rsidP="006C5168">
      <w:r>
        <w:t>På denne måde kræves der ikke tilladelse til hver enkelt overførelse. Denne mulighed er specielt gavnlig for store internationale koncerner</w:t>
      </w:r>
      <w:r w:rsidR="00C3403F">
        <w:t>, når der skal overføres oplysninger mellem forskellige datterselskaber og/eller moderselskab, som ligger i forskellige lande.</w:t>
      </w:r>
    </w:p>
    <w:p w14:paraId="137E9EC2" w14:textId="43561A77" w:rsidR="00E43D55" w:rsidRDefault="00E43D55" w:rsidP="006C5168">
      <w:r>
        <w:t>Bindende virksomhedsregler er meget omfattende retlige dokumenter. Dette betyder, at den koncern der skal udarbejde bindende virksomhedsregler ska</w:t>
      </w:r>
      <w:r w:rsidR="007C31FF">
        <w:t>l</w:t>
      </w:r>
      <w:r>
        <w:t xml:space="preserve"> være af en vis </w:t>
      </w:r>
      <w:r w:rsidR="007C31FF">
        <w:t xml:space="preserve">størrelse, førend det </w:t>
      </w:r>
      <w:r w:rsidR="005B1D1F">
        <w:t>vurderes som værende relevant at</w:t>
      </w:r>
      <w:r w:rsidR="007C31FF">
        <w:t xml:space="preserve"> udforme og bruge bindende virksomhedsregler. </w:t>
      </w:r>
    </w:p>
    <w:p w14:paraId="7B9D43C7" w14:textId="59422484" w:rsidR="008269F5" w:rsidRDefault="008269F5" w:rsidP="006C5168">
      <w:r>
        <w:t>Når tilsynsmyndigheden (</w:t>
      </w:r>
      <w:r w:rsidR="00C20027">
        <w:t>D</w:t>
      </w:r>
      <w:r>
        <w:t xml:space="preserve">atatilsynet) skal godkende bindende virksomhedsregler, er der visse minimumskrav, som under alle omstændigheder skal være opfyldt.  Dette drejer sig om: </w:t>
      </w:r>
    </w:p>
    <w:p w14:paraId="5B3E182F" w14:textId="77777777" w:rsidR="008269F5" w:rsidRDefault="008269F5" w:rsidP="007F143F">
      <w:pPr>
        <w:pStyle w:val="Listeafsnit"/>
        <w:numPr>
          <w:ilvl w:val="0"/>
          <w:numId w:val="4"/>
        </w:numPr>
      </w:pPr>
      <w:r>
        <w:t xml:space="preserve">Reglernes bindende virkning </w:t>
      </w:r>
    </w:p>
    <w:p w14:paraId="7832BCAE" w14:textId="77777777" w:rsidR="008269F5" w:rsidRDefault="008269F5" w:rsidP="007F143F">
      <w:pPr>
        <w:pStyle w:val="Listeafsnit"/>
        <w:numPr>
          <w:ilvl w:val="0"/>
          <w:numId w:val="4"/>
        </w:numPr>
      </w:pPr>
      <w:r>
        <w:t xml:space="preserve">Reglernes efterlevelse </w:t>
      </w:r>
    </w:p>
    <w:p w14:paraId="4D7D57D8" w14:textId="77777777" w:rsidR="008269F5" w:rsidRDefault="008269F5" w:rsidP="007F143F">
      <w:pPr>
        <w:pStyle w:val="Listeafsnit"/>
        <w:numPr>
          <w:ilvl w:val="0"/>
          <w:numId w:val="4"/>
        </w:numPr>
      </w:pPr>
      <w:r>
        <w:t xml:space="preserve">Samarbejdsforpligtigelser med tilsynsmyndighederne </w:t>
      </w:r>
    </w:p>
    <w:p w14:paraId="5C9FE464" w14:textId="7DC35CF7" w:rsidR="008269F5" w:rsidRDefault="008269F5" w:rsidP="007F143F">
      <w:pPr>
        <w:pStyle w:val="Listeafsnit"/>
        <w:numPr>
          <w:ilvl w:val="0"/>
          <w:numId w:val="4"/>
        </w:numPr>
      </w:pPr>
      <w:r>
        <w:t xml:space="preserve">Beskrivelse af behandlinger og </w:t>
      </w:r>
      <w:proofErr w:type="spellStart"/>
      <w:r>
        <w:t>dataflows</w:t>
      </w:r>
      <w:proofErr w:type="spellEnd"/>
      <w:r>
        <w:t xml:space="preserve"> </w:t>
      </w:r>
    </w:p>
    <w:p w14:paraId="7D09B1E2" w14:textId="30F5A5F1" w:rsidR="008269F5" w:rsidRDefault="008269F5" w:rsidP="007F143F">
      <w:pPr>
        <w:pStyle w:val="Listeafsnit"/>
        <w:numPr>
          <w:ilvl w:val="0"/>
          <w:numId w:val="4"/>
        </w:numPr>
      </w:pPr>
      <w:r>
        <w:t>Mekanisme ti</w:t>
      </w:r>
      <w:r w:rsidR="00406F1E">
        <w:t>l</w:t>
      </w:r>
      <w:r>
        <w:t xml:space="preserve"> rapportering af ændringer</w:t>
      </w:r>
    </w:p>
    <w:p w14:paraId="77FA17F8" w14:textId="77777777" w:rsidR="008269F5" w:rsidRDefault="008269F5" w:rsidP="007F143F">
      <w:pPr>
        <w:pStyle w:val="Listeafsnit"/>
        <w:numPr>
          <w:ilvl w:val="0"/>
          <w:numId w:val="4"/>
        </w:numPr>
      </w:pPr>
      <w:r>
        <w:t xml:space="preserve">Databeskyttelse </w:t>
      </w:r>
    </w:p>
    <w:p w14:paraId="50768273" w14:textId="1E79D071" w:rsidR="008269F5" w:rsidRDefault="00321F4B" w:rsidP="008269F5">
      <w:r>
        <w:t xml:space="preserve">Når Datatilsynet skal godkende en virksomheds bindende regler, kan </w:t>
      </w:r>
      <w:r w:rsidR="001B1D84">
        <w:t xml:space="preserve">Datatilsynet </w:t>
      </w:r>
      <w:r>
        <w:t>ikke uden videre give deres godkendelse af reglerne. Først skal Det Europæiske Databeskyttelsesråd komme med en udtalelse til Datatilsynets udkast til godkendelsen. Denne udtalelse skal Datatilsynet så vidt muligt tage hensyn til.</w:t>
      </w:r>
    </w:p>
    <w:p w14:paraId="6D774B45" w14:textId="423E49FB" w:rsidR="00321F4B" w:rsidRDefault="00321F4B" w:rsidP="008269F5">
      <w:r>
        <w:t>Hvis Datatilsynets godkendelse tager hensyn til Databeskyttelsesrådets udtalelse, så kan Datatilsynet endeligt godkende de bindende virksomhedsregler.</w:t>
      </w:r>
    </w:p>
    <w:p w14:paraId="148F7993" w14:textId="77777777" w:rsidR="006C5168" w:rsidRDefault="006C5168" w:rsidP="0029435D">
      <w:pPr>
        <w:rPr>
          <w:u w:val="single"/>
        </w:rPr>
      </w:pPr>
    </w:p>
    <w:p w14:paraId="5F37B845" w14:textId="77777777" w:rsidR="00C728DE" w:rsidRPr="00C7298A" w:rsidRDefault="006C5168" w:rsidP="00C7298A">
      <w:pPr>
        <w:pStyle w:val="Listeafsnit"/>
        <w:numPr>
          <w:ilvl w:val="0"/>
          <w:numId w:val="3"/>
        </w:numPr>
        <w:rPr>
          <w:u w:val="single"/>
        </w:rPr>
      </w:pPr>
      <w:r w:rsidRPr="00C7298A">
        <w:rPr>
          <w:u w:val="single"/>
        </w:rPr>
        <w:t xml:space="preserve">Adfærdskodekser og certificeringsordninger </w:t>
      </w:r>
    </w:p>
    <w:p w14:paraId="77A50DEC" w14:textId="1A359569" w:rsidR="00C728DE" w:rsidRPr="00B15A11" w:rsidRDefault="00B15A11" w:rsidP="00C728DE">
      <w:pPr>
        <w:rPr>
          <w:i/>
        </w:rPr>
      </w:pPr>
      <w:r>
        <w:t>T</w:t>
      </w:r>
      <w:r w:rsidR="00C728DE">
        <w:t>ilslu</w:t>
      </w:r>
      <w:r>
        <w:t>tning</w:t>
      </w:r>
      <w:r w:rsidR="00C728DE">
        <w:t xml:space="preserve"> </w:t>
      </w:r>
      <w:r>
        <w:t>til</w:t>
      </w:r>
      <w:r w:rsidR="00C728DE">
        <w:t xml:space="preserve"> særlige adfærdskodekser eller certificeringsordninger, </w:t>
      </w:r>
      <w:r>
        <w:t xml:space="preserve">vil </w:t>
      </w:r>
      <w:r w:rsidR="00C728DE">
        <w:t xml:space="preserve">også være en mulighed for at overføre personoplysninger til usikre tredjelande. </w:t>
      </w:r>
      <w:r w:rsidRPr="00D32B23">
        <w:rPr>
          <w:i/>
        </w:rPr>
        <w:t xml:space="preserve">Se </w:t>
      </w:r>
      <w:r w:rsidR="000663CF" w:rsidRPr="00D32B23">
        <w:rPr>
          <w:i/>
        </w:rPr>
        <w:t>Enkel-</w:t>
      </w:r>
      <w:proofErr w:type="spellStart"/>
      <w:r w:rsidR="000663CF" w:rsidRPr="00D32B23">
        <w:rPr>
          <w:i/>
        </w:rPr>
        <w:t>GDPR</w:t>
      </w:r>
      <w:r w:rsidRPr="00D32B23">
        <w:rPr>
          <w:i/>
        </w:rPr>
        <w:t>s</w:t>
      </w:r>
      <w:proofErr w:type="spellEnd"/>
      <w:r w:rsidRPr="00D32B23">
        <w:rPr>
          <w:i/>
        </w:rPr>
        <w:t xml:space="preserve"> </w:t>
      </w:r>
      <w:r w:rsidR="00C9447B">
        <w:rPr>
          <w:i/>
        </w:rPr>
        <w:t>V</w:t>
      </w:r>
      <w:r w:rsidRPr="00D32B23">
        <w:rPr>
          <w:i/>
        </w:rPr>
        <w:t>ejledning om adfærdskodekser og certificeringsordninger</w:t>
      </w:r>
      <w:r w:rsidRPr="00C9447B">
        <w:rPr>
          <w:iCs/>
        </w:rPr>
        <w:t>.</w:t>
      </w:r>
    </w:p>
    <w:p w14:paraId="1214154B" w14:textId="3A70BFB4" w:rsidR="00C728DE" w:rsidRDefault="00C728DE" w:rsidP="00C728DE">
      <w:r>
        <w:t>Hvis en virksomhed</w:t>
      </w:r>
      <w:r w:rsidR="00B15A11">
        <w:t xml:space="preserve"> i et usikkert tredjeland eller en international organisation</w:t>
      </w:r>
      <w:r>
        <w:t>, værende dataansvarlig eller en databehandler</w:t>
      </w:r>
      <w:r w:rsidR="00242066">
        <w:t>,</w:t>
      </w:r>
      <w:r>
        <w:t xml:space="preserve"> tilslutter sig et </w:t>
      </w:r>
      <w:r w:rsidRPr="0046761F">
        <w:rPr>
          <w:u w:val="single"/>
        </w:rPr>
        <w:t xml:space="preserve">godkendt </w:t>
      </w:r>
      <w:r>
        <w:t>adfærdskodeks eller en certificeringsmekanisme</w:t>
      </w:r>
      <w:r w:rsidR="00C7298A">
        <w:t xml:space="preserve"> i den dataretlige forstand</w:t>
      </w:r>
      <w:r>
        <w:t xml:space="preserve">, vil der frit kunne overføres personoplysninger til/via virksomheden. </w:t>
      </w:r>
      <w:r w:rsidR="00B15A11">
        <w:t>Dette e</w:t>
      </w:r>
      <w:r w:rsidR="00C7298A">
        <w:t>r</w:t>
      </w:r>
      <w:r w:rsidR="00B15A11">
        <w:t xml:space="preserve"> selvfølgelig under forudsætning af, at </w:t>
      </w:r>
      <w:r w:rsidR="00C7298A">
        <w:t>forordningens øvrige regler overholdes.</w:t>
      </w:r>
    </w:p>
    <w:p w14:paraId="278189C8" w14:textId="32929EA5" w:rsidR="00C728DE" w:rsidRDefault="0046398A" w:rsidP="00C728DE">
      <w:r>
        <w:t>Før</w:t>
      </w:r>
      <w:r w:rsidR="00C728DE">
        <w:t xml:space="preserve"> der kan ske overførelse af personoplysninger</w:t>
      </w:r>
      <w:r w:rsidR="00BA38A8">
        <w:t xml:space="preserve"> </w:t>
      </w:r>
      <w:r w:rsidR="00C728DE">
        <w:t>skal adfærdskodeks/certificeringsmekanisme:</w:t>
      </w:r>
    </w:p>
    <w:p w14:paraId="2F8F8597" w14:textId="6BBC01AA" w:rsidR="00C728DE" w:rsidRDefault="00934A4C" w:rsidP="00C728DE">
      <w:pPr>
        <w:pStyle w:val="Listeafsnit"/>
        <w:numPr>
          <w:ilvl w:val="0"/>
          <w:numId w:val="2"/>
        </w:numPr>
        <w:spacing w:after="0" w:line="240" w:lineRule="auto"/>
      </w:pPr>
      <w:r>
        <w:t>v</w:t>
      </w:r>
      <w:r w:rsidR="00C728DE">
        <w:t xml:space="preserve">ære godkendt af </w:t>
      </w:r>
      <w:r w:rsidR="003E4952">
        <w:t xml:space="preserve">enten </w:t>
      </w:r>
      <w:r w:rsidR="00C728DE">
        <w:t>den kompetente tilsynsmyndighed</w:t>
      </w:r>
      <w:r w:rsidR="004746C1">
        <w:t xml:space="preserve"> eller et certificeringsorgan,</w:t>
      </w:r>
      <w:r w:rsidR="003E4952">
        <w:t xml:space="preserve"> </w:t>
      </w:r>
    </w:p>
    <w:p w14:paraId="3004B3B8" w14:textId="2698B89E" w:rsidR="00C728DE" w:rsidRDefault="00934A4C" w:rsidP="00C728DE">
      <w:pPr>
        <w:pStyle w:val="Listeafsnit"/>
        <w:numPr>
          <w:ilvl w:val="0"/>
          <w:numId w:val="2"/>
        </w:numPr>
        <w:spacing w:after="0" w:line="240" w:lineRule="auto"/>
      </w:pPr>
      <w:r>
        <w:t>i</w:t>
      </w:r>
      <w:r w:rsidR="00C728DE">
        <w:t>ndeholde specifikke regler om tredjelandsoverførelser</w:t>
      </w:r>
      <w:r w:rsidR="004746C1">
        <w:t>,</w:t>
      </w:r>
    </w:p>
    <w:p w14:paraId="3F6F66B8" w14:textId="4BEF587E" w:rsidR="00C728DE" w:rsidRDefault="00934A4C" w:rsidP="00C728DE">
      <w:pPr>
        <w:pStyle w:val="Listeafsnit"/>
        <w:numPr>
          <w:ilvl w:val="0"/>
          <w:numId w:val="2"/>
        </w:numPr>
        <w:spacing w:after="0" w:line="240" w:lineRule="auto"/>
      </w:pPr>
      <w:r>
        <w:t>i</w:t>
      </w:r>
      <w:r w:rsidR="00C728DE">
        <w:t>ndeholde bindende tilsagn fra dataimportøren om at anvende regler om tredjelandsoverførsel</w:t>
      </w:r>
      <w:r w:rsidR="00091646">
        <w:t>,</w:t>
      </w:r>
    </w:p>
    <w:p w14:paraId="2FC4889F" w14:textId="3822C479" w:rsidR="00C728DE" w:rsidRPr="0046761F" w:rsidRDefault="00934A4C" w:rsidP="00C728DE">
      <w:pPr>
        <w:pStyle w:val="Listeafsnit"/>
        <w:numPr>
          <w:ilvl w:val="0"/>
          <w:numId w:val="2"/>
        </w:numPr>
        <w:spacing w:after="0" w:line="240" w:lineRule="auto"/>
      </w:pPr>
      <w:r>
        <w:t>d</w:t>
      </w:r>
      <w:r w:rsidR="00C728DE">
        <w:t xml:space="preserve">et bindende tilsagn skal kunne håndhæves af et kontrolorgan, som er kompetent. </w:t>
      </w:r>
    </w:p>
    <w:p w14:paraId="21BA0532" w14:textId="77777777" w:rsidR="00C728DE" w:rsidRDefault="00C728DE" w:rsidP="00C728DE"/>
    <w:p w14:paraId="786602F0" w14:textId="77777777" w:rsidR="006C5168" w:rsidRDefault="00C728DE" w:rsidP="0029435D">
      <w:r>
        <w:lastRenderedPageBreak/>
        <w:t>Denne løsning for overførelse</w:t>
      </w:r>
      <w:r w:rsidR="00C7298A">
        <w:t xml:space="preserve"> af personoplysninger</w:t>
      </w:r>
      <w:r>
        <w:t xml:space="preserve"> er især relevant for små og mellemstore virksomheder. </w:t>
      </w:r>
    </w:p>
    <w:p w14:paraId="7C8B9EBB" w14:textId="77777777" w:rsidR="00C7298A" w:rsidRPr="00C7298A" w:rsidRDefault="00C7298A" w:rsidP="0029435D"/>
    <w:p w14:paraId="13555B5B" w14:textId="77777777" w:rsidR="006C5168" w:rsidRPr="00C7298A" w:rsidRDefault="006C5168" w:rsidP="00C7298A">
      <w:pPr>
        <w:pStyle w:val="Listeafsnit"/>
        <w:numPr>
          <w:ilvl w:val="0"/>
          <w:numId w:val="3"/>
        </w:numPr>
        <w:rPr>
          <w:u w:val="single"/>
        </w:rPr>
      </w:pPr>
      <w:r w:rsidRPr="00C7298A">
        <w:rPr>
          <w:u w:val="single"/>
        </w:rPr>
        <w:t xml:space="preserve">Standard bestemmelser om databeskyttelse </w:t>
      </w:r>
    </w:p>
    <w:p w14:paraId="4C9E696E" w14:textId="64FA574D" w:rsidR="00C728DE" w:rsidRDefault="00C728DE" w:rsidP="00C728DE">
      <w:r>
        <w:t>Hvis der foreligger en standardbestemmelse om databeskyttelse, vil der kunne overføres person</w:t>
      </w:r>
      <w:r w:rsidR="00EB090B">
        <w:t>oplysninger</w:t>
      </w:r>
      <w:r>
        <w:t xml:space="preserve"> til et usikkert tredjeland</w:t>
      </w:r>
      <w:r w:rsidR="00C7298A">
        <w:t xml:space="preserve"> eller en organisation</w:t>
      </w:r>
      <w:r>
        <w:t>. Det forudsættes selvfølgelig</w:t>
      </w:r>
      <w:r w:rsidR="00EB090B">
        <w:t>,</w:t>
      </w:r>
      <w:r>
        <w:t xml:space="preserve"> at man fuldt ud kan leve o</w:t>
      </w:r>
      <w:r w:rsidR="00685E81">
        <w:t>p</w:t>
      </w:r>
      <w:r>
        <w:t xml:space="preserve"> til bestemmelsen. Sådanne bestemmelser kan være vedtaget af EU-</w:t>
      </w:r>
      <w:r w:rsidR="00506E6E">
        <w:t>K</w:t>
      </w:r>
      <w:r>
        <w:t>ommissionen eller af en tilsynsmyndighed, som EU-Kommissionen har godkendt.</w:t>
      </w:r>
    </w:p>
    <w:p w14:paraId="743F83B7" w14:textId="167D57FC" w:rsidR="00C728DE" w:rsidRDefault="00C728DE" w:rsidP="00C728DE">
      <w:r>
        <w:t xml:space="preserve">Der foreligger </w:t>
      </w:r>
      <w:r w:rsidR="00B13495">
        <w:t>på nuværende tidspunkt</w:t>
      </w:r>
      <w:r>
        <w:t xml:space="preserve"> </w:t>
      </w:r>
      <w:r w:rsidR="00B13495">
        <w:t>ingen</w:t>
      </w:r>
      <w:r>
        <w:t xml:space="preserve"> vedtagne standardbestemmelser foretaget af tilsynsmyndigheder. </w:t>
      </w:r>
    </w:p>
    <w:p w14:paraId="43ACECC1" w14:textId="61A52ABF" w:rsidR="00C728DE" w:rsidRDefault="00C728DE" w:rsidP="00C728DE">
      <w:r>
        <w:t xml:space="preserve">EU-Kommissionen har vedtaget tre forskellige standardbestemmelser. </w:t>
      </w:r>
      <w:r w:rsidR="00F1681B">
        <w:t xml:space="preserve">Dog skal man være opmærksom på, </w:t>
      </w:r>
      <w:r>
        <w:t xml:space="preserve">hvis man benytter én af kommissionens standardbestemmelser som garanti inden </w:t>
      </w:r>
      <w:r w:rsidR="00F1681B">
        <w:t xml:space="preserve">en given </w:t>
      </w:r>
      <w:r>
        <w:t xml:space="preserve">overførelse, skal dette godkendes af den kompetente tilsynsmyndighed (med henblik på, om man er </w:t>
      </w:r>
      <w:r w:rsidR="00E11ACD">
        <w:t xml:space="preserve">i </w:t>
      </w:r>
      <w:r>
        <w:t xml:space="preserve">stand til at overholde bestemmelserne). </w:t>
      </w:r>
    </w:p>
    <w:p w14:paraId="5C0389E5" w14:textId="77777777" w:rsidR="006C5168" w:rsidRDefault="006C5168" w:rsidP="0029435D">
      <w:pPr>
        <w:rPr>
          <w:u w:val="single"/>
        </w:rPr>
      </w:pPr>
    </w:p>
    <w:p w14:paraId="0ECDF19B" w14:textId="77777777" w:rsidR="002A2DE1" w:rsidRPr="002A2DE1" w:rsidRDefault="002A2DE1" w:rsidP="002A2DE1">
      <w:pPr>
        <w:pStyle w:val="Listeafsnit"/>
        <w:numPr>
          <w:ilvl w:val="0"/>
          <w:numId w:val="3"/>
        </w:numPr>
        <w:rPr>
          <w:u w:val="single"/>
        </w:rPr>
      </w:pPr>
      <w:r>
        <w:rPr>
          <w:u w:val="single"/>
        </w:rPr>
        <w:t>”</w:t>
      </w:r>
      <w:r w:rsidR="008C3F73">
        <w:rPr>
          <w:u w:val="single"/>
        </w:rPr>
        <w:t>A</w:t>
      </w:r>
      <w:r>
        <w:rPr>
          <w:u w:val="single"/>
        </w:rPr>
        <w:t xml:space="preserve">d hoc” </w:t>
      </w:r>
      <w:r w:rsidR="006C5168" w:rsidRPr="002A2DE1">
        <w:rPr>
          <w:u w:val="single"/>
        </w:rPr>
        <w:t xml:space="preserve">karakter </w:t>
      </w:r>
    </w:p>
    <w:p w14:paraId="0DBA91DE" w14:textId="15FCA182" w:rsidR="00C728DE" w:rsidRDefault="00C728DE" w:rsidP="00C728DE">
      <w:r>
        <w:t xml:space="preserve">En garanti kan stilles på baggrund af en ”ad hoc”- kontrakt. En sådan kontrakt, skal dog specifikt godkendes af en kompetent tilsynsmyndighed og kræver en udtalelse fra det Europæiske Databeskyttelsesråd. </w:t>
      </w:r>
    </w:p>
    <w:p w14:paraId="497A9ADC" w14:textId="216E0F5E" w:rsidR="002A2DE1" w:rsidRDefault="002A2DE1" w:rsidP="00C728DE">
      <w:r>
        <w:t>Fordelen ved sådanne kontrakter er</w:t>
      </w:r>
      <w:r w:rsidR="005577C3">
        <w:t>,</w:t>
      </w:r>
      <w:r>
        <w:t xml:space="preserve"> at virksomhede</w:t>
      </w:r>
      <w:r w:rsidR="00252B0D">
        <w:t>n</w:t>
      </w:r>
      <w:r>
        <w:t xml:space="preserve"> eller organisationen selv kan påvirke indholdet af kontrakten. </w:t>
      </w:r>
    </w:p>
    <w:p w14:paraId="7F93C003" w14:textId="3883467E" w:rsidR="00C728DE" w:rsidRDefault="002A2DE1" w:rsidP="00C728DE">
      <w:r>
        <w:t>Ulempen er</w:t>
      </w:r>
      <w:r w:rsidR="0053554A">
        <w:t>,</w:t>
      </w:r>
      <w:r>
        <w:t xml:space="preserve"> at overførelse af personoplysninger på baggrund af en sådan ”ad hoc”</w:t>
      </w:r>
      <w:r w:rsidR="00405C8F">
        <w:t xml:space="preserve"> kontrakt</w:t>
      </w:r>
      <w:r w:rsidR="00455149">
        <w:t xml:space="preserve"> stiller krav til dennes udformning, som nævnt ovenfor.</w:t>
      </w:r>
      <w:r w:rsidR="00405C8F">
        <w:t xml:space="preserve"> Derudover </w:t>
      </w:r>
      <w:r w:rsidR="00C728DE">
        <w:t>kan der forekomme en længere sagsbehandlingstid, da hver enkelt kontrakt skal vurderes konkret</w:t>
      </w:r>
      <w:r w:rsidR="00405C8F">
        <w:t>, med henblik på</w:t>
      </w:r>
      <w:r w:rsidR="00C728DE">
        <w:t xml:space="preserve"> om den kan benyttes som </w:t>
      </w:r>
      <w:r w:rsidR="00405C8F">
        <w:t xml:space="preserve">en </w:t>
      </w:r>
      <w:r w:rsidR="00C728DE">
        <w:t>tilstrækkelig garanti.</w:t>
      </w:r>
    </w:p>
    <w:p w14:paraId="623A27FA" w14:textId="77777777" w:rsidR="0029435D" w:rsidRDefault="0029435D">
      <w:pPr>
        <w:rPr>
          <w:b/>
        </w:rPr>
      </w:pPr>
    </w:p>
    <w:p w14:paraId="6C1C8972" w14:textId="77777777" w:rsidR="008C3F73" w:rsidRDefault="008C3F73">
      <w:pPr>
        <w:rPr>
          <w:b/>
        </w:rPr>
      </w:pPr>
      <w:r>
        <w:rPr>
          <w:b/>
        </w:rPr>
        <w:t xml:space="preserve">Undtagelser: </w:t>
      </w:r>
    </w:p>
    <w:p w14:paraId="1DD1BC46" w14:textId="50894C13" w:rsidR="004C5178" w:rsidRPr="00EE5A8B" w:rsidRDefault="007D50B0" w:rsidP="004C5178">
      <w:pPr>
        <w:rPr>
          <w:b/>
        </w:rPr>
      </w:pPr>
      <w:r>
        <w:rPr>
          <w:b/>
          <w:i/>
        </w:rPr>
        <w:t>Der findes s</w:t>
      </w:r>
      <w:r w:rsidR="008C3F73" w:rsidRPr="008C3F73">
        <w:rPr>
          <w:b/>
          <w:i/>
        </w:rPr>
        <w:t>ærlige tilfælde hvor der ikke skal stilles fornødne garantier for at overføre personoplysninger til et usikkert tredjeland</w:t>
      </w:r>
      <w:r w:rsidR="008C3F73">
        <w:rPr>
          <w:b/>
        </w:rPr>
        <w:t xml:space="preserve">. </w:t>
      </w:r>
    </w:p>
    <w:p w14:paraId="1230859A" w14:textId="5368EAB2" w:rsidR="004C5178" w:rsidRDefault="004C5178" w:rsidP="004C5178">
      <w:r>
        <w:t xml:space="preserve">Hvis det findes nødvendigt at overføre personoplysninger til et tredjeland, der </w:t>
      </w:r>
      <w:r w:rsidRPr="007F143F">
        <w:rPr>
          <w:u w:val="single"/>
        </w:rPr>
        <w:t>ikke</w:t>
      </w:r>
      <w:r>
        <w:t xml:space="preserve"> er vurderet som sikkert, og hvor det ikke er muligt</w:t>
      </w:r>
      <w:r w:rsidR="007C092D">
        <w:t xml:space="preserve"> at</w:t>
      </w:r>
      <w:r>
        <w:t xml:space="preserve"> stille én af ovennævnte garantier, findes der enkelte undtagelser, hvor overførelse alligevel kan ske.</w:t>
      </w:r>
    </w:p>
    <w:p w14:paraId="6A8212F3" w14:textId="77777777" w:rsidR="004C5178" w:rsidRDefault="004C5178" w:rsidP="004C5178">
      <w:r>
        <w:t xml:space="preserve">Dette gælder hvis: </w:t>
      </w:r>
    </w:p>
    <w:p w14:paraId="648143A6" w14:textId="2C5D9281" w:rsidR="00C136E5" w:rsidRDefault="004C5178" w:rsidP="00C136E5">
      <w:pPr>
        <w:pStyle w:val="Listeafsnit"/>
        <w:numPr>
          <w:ilvl w:val="0"/>
          <w:numId w:val="2"/>
        </w:numPr>
      </w:pPr>
      <w:r>
        <w:t xml:space="preserve">Den registrerede har givet </w:t>
      </w:r>
      <w:r w:rsidRPr="00824E82">
        <w:rPr>
          <w:u w:val="single"/>
        </w:rPr>
        <w:t>udtrykkeligt</w:t>
      </w:r>
      <w:r>
        <w:t xml:space="preserve"> samtykke til </w:t>
      </w:r>
      <w:r w:rsidR="00232DBD">
        <w:t>overførslen</w:t>
      </w:r>
    </w:p>
    <w:p w14:paraId="4E0D36E8" w14:textId="1DC055C1" w:rsidR="00C136E5" w:rsidRDefault="00232DBD" w:rsidP="00C136E5">
      <w:pPr>
        <w:pStyle w:val="Listeafsnit"/>
        <w:numPr>
          <w:ilvl w:val="0"/>
          <w:numId w:val="2"/>
        </w:numPr>
      </w:pPr>
      <w:r>
        <w:t>Overførslen</w:t>
      </w:r>
      <w:r w:rsidR="004C5178">
        <w:t xml:space="preserve"> er nødvendig </w:t>
      </w:r>
      <w:r w:rsidR="00D57807">
        <w:t>i forhold til</w:t>
      </w:r>
      <w:r w:rsidR="004C5178">
        <w:t xml:space="preserve"> indgåelse eller opfyldelse af en kontrakt mellem den dataansvarlige og den registrerede. Denne undtagelse kan </w:t>
      </w:r>
      <w:r w:rsidR="0087673A">
        <w:t>alene</w:t>
      </w:r>
      <w:r w:rsidR="004C5178">
        <w:t xml:space="preserve"> </w:t>
      </w:r>
      <w:r w:rsidR="00FF1A58">
        <w:t>benyttes</w:t>
      </w:r>
      <w:r w:rsidR="004C5178">
        <w:t xml:space="preserve"> hvis </w:t>
      </w:r>
      <w:r>
        <w:t>overførslen</w:t>
      </w:r>
      <w:r w:rsidR="004C5178">
        <w:t xml:space="preserve"> </w:t>
      </w:r>
      <w:r w:rsidR="0087673A">
        <w:t xml:space="preserve">af </w:t>
      </w:r>
      <w:r w:rsidR="004C5178">
        <w:t>personoplysningen anses som nødvendig. Derudover skal der være en betydelig forbindelse mellem overfør</w:t>
      </w:r>
      <w:r w:rsidR="00893A20">
        <w:t>slen</w:t>
      </w:r>
      <w:r w:rsidR="004C5178">
        <w:t xml:space="preserve"> af personoplysninger og </w:t>
      </w:r>
      <w:r w:rsidR="00154133">
        <w:t xml:space="preserve">formålet med </w:t>
      </w:r>
      <w:r w:rsidR="004C5178">
        <w:t xml:space="preserve">kontrakten. </w:t>
      </w:r>
    </w:p>
    <w:p w14:paraId="6C0048EE" w14:textId="77777777" w:rsidR="00184F32" w:rsidRDefault="00184F32" w:rsidP="00184F32">
      <w:pPr>
        <w:pStyle w:val="Listeafsnit"/>
      </w:pPr>
    </w:p>
    <w:p w14:paraId="61FACCD1" w14:textId="3D0DE800" w:rsidR="004C5178" w:rsidRDefault="00232DBD" w:rsidP="00184F32">
      <w:pPr>
        <w:pStyle w:val="Listeafsnit"/>
        <w:numPr>
          <w:ilvl w:val="0"/>
          <w:numId w:val="2"/>
        </w:numPr>
      </w:pPr>
      <w:r>
        <w:lastRenderedPageBreak/>
        <w:t>Overførslen</w:t>
      </w:r>
      <w:r w:rsidR="004C5178">
        <w:t xml:space="preserve"> er nødvendig </w:t>
      </w:r>
      <w:r w:rsidR="006E5C2A">
        <w:t xml:space="preserve">hvad angår </w:t>
      </w:r>
      <w:r w:rsidR="004C5178">
        <w:t xml:space="preserve">indgåelse eller opfyldelse af en kontrakt mellem den dataansvarlige og en anden fysisk eller juridisk person. </w:t>
      </w:r>
      <w:r w:rsidR="00C136E5">
        <w:t xml:space="preserve">Ved denne undtagelse er det ikke en betingelse, at kontrakten er </w:t>
      </w:r>
      <w:r w:rsidR="000F634C">
        <w:t xml:space="preserve">dannet </w:t>
      </w:r>
      <w:r w:rsidR="00C136E5">
        <w:t>med den registrerede som part. Det forudsættes blot, at opfyldelsen af kontrakten er i den registrerede</w:t>
      </w:r>
      <w:r w:rsidR="00D50E3F">
        <w:t>s</w:t>
      </w:r>
      <w:r w:rsidR="00C136E5">
        <w:t xml:space="preserve"> interesse. </w:t>
      </w:r>
    </w:p>
    <w:p w14:paraId="6D905F97" w14:textId="77777777" w:rsidR="00184F32" w:rsidRDefault="00184F32" w:rsidP="00184F32">
      <w:pPr>
        <w:pStyle w:val="Listeafsnit"/>
      </w:pPr>
    </w:p>
    <w:p w14:paraId="56B012C0" w14:textId="28B7AD85" w:rsidR="00184F32" w:rsidRDefault="00232DBD" w:rsidP="00184F32">
      <w:pPr>
        <w:pStyle w:val="Listeafsnit"/>
        <w:numPr>
          <w:ilvl w:val="0"/>
          <w:numId w:val="2"/>
        </w:numPr>
      </w:pPr>
      <w:r>
        <w:t>Overførslen</w:t>
      </w:r>
      <w:r w:rsidR="004C5178">
        <w:t xml:space="preserve"> er nødvendig af hensyn til vigtige samfundsinteresser</w:t>
      </w:r>
      <w:r w:rsidR="00184F32">
        <w:t xml:space="preserve"> i EU-retten eller i national ret. </w:t>
      </w:r>
      <w:r w:rsidR="00202589">
        <w:t>Et eksempel</w:t>
      </w:r>
      <w:r w:rsidR="00973E63">
        <w:t xml:space="preserve"> </w:t>
      </w:r>
      <w:r w:rsidR="00184F32">
        <w:t>på sådanne nødvendige hensyn</w:t>
      </w:r>
      <w:r w:rsidR="004E7D88">
        <w:t xml:space="preserve"> er</w:t>
      </w:r>
      <w:r w:rsidR="00241251">
        <w:t xml:space="preserve"> </w:t>
      </w:r>
      <w:r w:rsidR="00184F32">
        <w:t xml:space="preserve">international udveksling af personoplysninger af hensyn til folkesundheden i forbindelse med smitsomme sygdomme. </w:t>
      </w:r>
    </w:p>
    <w:p w14:paraId="3BCC22FF" w14:textId="77777777" w:rsidR="00184F32" w:rsidRDefault="00184F32" w:rsidP="00184F32">
      <w:pPr>
        <w:pStyle w:val="Listeafsnit"/>
      </w:pPr>
    </w:p>
    <w:p w14:paraId="216762E9" w14:textId="537D4024" w:rsidR="004C5178" w:rsidRDefault="007C7829" w:rsidP="00184F32">
      <w:pPr>
        <w:pStyle w:val="Listeafsnit"/>
        <w:numPr>
          <w:ilvl w:val="0"/>
          <w:numId w:val="2"/>
        </w:numPr>
      </w:pPr>
      <w:r>
        <w:t>O</w:t>
      </w:r>
      <w:r w:rsidR="004C5178">
        <w:t>verfør</w:t>
      </w:r>
      <w:r w:rsidR="00FC50FA">
        <w:t>slen</w:t>
      </w:r>
      <w:r w:rsidR="004C5178">
        <w:t xml:space="preserve"> er nødvendig for at et retskrav kan fastlægges</w:t>
      </w:r>
      <w:r w:rsidR="00FC50FA">
        <w:t>,</w:t>
      </w:r>
      <w:r w:rsidR="00241251">
        <w:t xml:space="preserve"> </w:t>
      </w:r>
      <w:r w:rsidR="004C5178">
        <w:t>gøres gældende</w:t>
      </w:r>
      <w:r w:rsidR="004E460A">
        <w:t xml:space="preserve"> eller </w:t>
      </w:r>
      <w:r w:rsidR="004C5178">
        <w:t>forsvares</w:t>
      </w:r>
      <w:r w:rsidR="00184F32">
        <w:t>. Under</w:t>
      </w:r>
      <w:r w:rsidR="003D1782">
        <w:t xml:space="preserve"> betegnelsen</w:t>
      </w:r>
      <w:r w:rsidR="00184F32">
        <w:t xml:space="preserve"> retskrav falder </w:t>
      </w:r>
      <w:r>
        <w:t>domme og afgørelse</w:t>
      </w:r>
      <w:r w:rsidR="007C5DE7">
        <w:t>r</w:t>
      </w:r>
      <w:r w:rsidR="00B210C6">
        <w:t xml:space="preserve"> ind</w:t>
      </w:r>
      <w:r w:rsidR="007C5DE7">
        <w:t>,</w:t>
      </w:r>
      <w:r>
        <w:t xml:space="preserve"> som er truffet af administrative myndigheder</w:t>
      </w:r>
      <w:r w:rsidR="00B210C6">
        <w:t>,</w:t>
      </w:r>
      <w:r>
        <w:t xml:space="preserve"> og som er anerkendt i EU. En sådan overførsel af personoplysninger må kun ske, hvis </w:t>
      </w:r>
      <w:r w:rsidR="009A0F6F">
        <w:t>overførs</w:t>
      </w:r>
      <w:r w:rsidR="00241251">
        <w:t>len</w:t>
      </w:r>
      <w:r>
        <w:t xml:space="preserve"> anses som værende nødvendig for, at det pågældende retskrav kan fastlægges, gøres gældende eller forsvares. </w:t>
      </w:r>
    </w:p>
    <w:p w14:paraId="164A490F" w14:textId="77777777" w:rsidR="007C7829" w:rsidRDefault="007C7829" w:rsidP="007C7829">
      <w:pPr>
        <w:pStyle w:val="Listeafsnit"/>
      </w:pPr>
    </w:p>
    <w:p w14:paraId="3AE171B5" w14:textId="171D2AA5" w:rsidR="004C5178" w:rsidRDefault="00232DBD" w:rsidP="004C5178">
      <w:pPr>
        <w:pStyle w:val="Listeafsnit"/>
        <w:numPr>
          <w:ilvl w:val="0"/>
          <w:numId w:val="2"/>
        </w:numPr>
      </w:pPr>
      <w:r>
        <w:t>Overførslen</w:t>
      </w:r>
      <w:r w:rsidR="004C5178">
        <w:t xml:space="preserve"> er nødvendig for at beskytte vitale interesser</w:t>
      </w:r>
      <w:r w:rsidR="007C7829">
        <w:t xml:space="preserve">. </w:t>
      </w:r>
      <w:r>
        <w:t>Overførslen</w:t>
      </w:r>
      <w:r w:rsidR="007C7829">
        <w:t xml:space="preserve"> skal være nødvendig for beskyttelsen af den registrerede eller andre </w:t>
      </w:r>
      <w:r w:rsidR="00874EB2">
        <w:t xml:space="preserve">individers </w:t>
      </w:r>
      <w:r w:rsidR="007C7829">
        <w:t xml:space="preserve">vitale interesse. </w:t>
      </w:r>
      <w:r w:rsidR="00C2759A">
        <w:t>Et eksempel på en</w:t>
      </w:r>
      <w:r w:rsidR="007C7829">
        <w:t xml:space="preserve"> vital interesse </w:t>
      </w:r>
      <w:r w:rsidR="00C2759A">
        <w:t>er</w:t>
      </w:r>
      <w:r w:rsidR="007C7829">
        <w:t xml:space="preserve"> akut påkrævet lægebehandling</w:t>
      </w:r>
      <w:r w:rsidR="001D22D2">
        <w:t>. Der skal være tale om situationer</w:t>
      </w:r>
      <w:r w:rsidR="0099592E">
        <w:t>,</w:t>
      </w:r>
      <w:r w:rsidR="001D22D2">
        <w:t xml:space="preserve"> hvor hensynet til den registrerede eller andres vitale interesse må antages at veje mere end hensynet til databeskyttelsen. </w:t>
      </w:r>
      <w:r w:rsidR="00DC3DA4">
        <w:t xml:space="preserve">Denne undtagelse kan ikke anvendes, hvis den registrerede er i stand til selv at træffe en beslutning, og </w:t>
      </w:r>
      <w:r w:rsidR="005A21B7">
        <w:t xml:space="preserve">der </w:t>
      </w:r>
      <w:r w:rsidR="00DC3DA4">
        <w:t xml:space="preserve">dermed </w:t>
      </w:r>
      <w:r w:rsidR="00977C86">
        <w:t>er mulighed for at</w:t>
      </w:r>
      <w:r w:rsidR="00DC3DA4">
        <w:t xml:space="preserve"> anmode </w:t>
      </w:r>
      <w:r w:rsidR="00977C86">
        <w:t>den registrerede om</w:t>
      </w:r>
      <w:r w:rsidR="00DC3DA4">
        <w:t xml:space="preserve"> samtykke. </w:t>
      </w:r>
    </w:p>
    <w:p w14:paraId="75D3FB80" w14:textId="77777777" w:rsidR="001D22D2" w:rsidRDefault="001D22D2" w:rsidP="001D22D2">
      <w:pPr>
        <w:pStyle w:val="Listeafsnit"/>
      </w:pPr>
    </w:p>
    <w:p w14:paraId="60645A07" w14:textId="0E129C46" w:rsidR="001D22D2" w:rsidRDefault="00232DBD" w:rsidP="001D22D2">
      <w:pPr>
        <w:pStyle w:val="Listeafsnit"/>
        <w:numPr>
          <w:ilvl w:val="0"/>
          <w:numId w:val="2"/>
        </w:numPr>
      </w:pPr>
      <w:r>
        <w:t>Overførslen</w:t>
      </w:r>
      <w:r w:rsidR="004C5178">
        <w:t xml:space="preserve"> finder sted fra et register, der ifølge EU-ret eller medlemsstaters nationale ret </w:t>
      </w:r>
      <w:r w:rsidR="00024991">
        <w:t xml:space="preserve">har til formål </w:t>
      </w:r>
      <w:r w:rsidR="004C5178">
        <w:t xml:space="preserve">at informere offentligheden, og som er </w:t>
      </w:r>
      <w:r w:rsidR="00137F23">
        <w:t xml:space="preserve">offentligt </w:t>
      </w:r>
      <w:r w:rsidR="004C5178">
        <w:t xml:space="preserve">tilgængeligt. </w:t>
      </w:r>
      <w:r w:rsidR="00DC3DA4">
        <w:t xml:space="preserve">Private registre er ikke omfattet af denne undtagelse. </w:t>
      </w:r>
    </w:p>
    <w:p w14:paraId="04DEBA8E" w14:textId="77777777" w:rsidR="001D22D2" w:rsidRDefault="001D22D2" w:rsidP="00DC3DA4">
      <w:pPr>
        <w:pStyle w:val="Listeafsnit"/>
      </w:pPr>
    </w:p>
    <w:p w14:paraId="6FA77E4C" w14:textId="6563323E" w:rsidR="004C5178" w:rsidRDefault="00232DBD" w:rsidP="004C5178">
      <w:pPr>
        <w:pStyle w:val="Listeafsnit"/>
        <w:numPr>
          <w:ilvl w:val="0"/>
          <w:numId w:val="2"/>
        </w:numPr>
      </w:pPr>
      <w:r>
        <w:t>Overførslen</w:t>
      </w:r>
      <w:r w:rsidR="004C5178">
        <w:t xml:space="preserve"> er nødvendig af hensyn til vægtige legitime interesser, som går forud for den registreredes interesser eller rettigheder. </w:t>
      </w:r>
      <w:r w:rsidR="006B443A">
        <w:t>Ved brug af denne undtagelse, forudsættes det</w:t>
      </w:r>
      <w:r w:rsidR="00244CA6">
        <w:t>,</w:t>
      </w:r>
      <w:r w:rsidR="006B443A">
        <w:t xml:space="preserve"> at den dataansvarlige foretager en vurdering af alle de omstændigheder</w:t>
      </w:r>
      <w:r w:rsidR="00173824">
        <w:t>,</w:t>
      </w:r>
      <w:r w:rsidR="006B443A">
        <w:t xml:space="preserve"> som foreligger i forbindelse med </w:t>
      </w:r>
      <w:r>
        <w:t>overførslen</w:t>
      </w:r>
      <w:r w:rsidR="006B443A">
        <w:t xml:space="preserve">, og på denne baggrund giver passende garantier for databeskyttelse. Denne undtagelse kan kun </w:t>
      </w:r>
      <w:r w:rsidR="00C05557">
        <w:t>benyttes</w:t>
      </w:r>
      <w:r w:rsidR="006B443A">
        <w:t>, hvis der er tale om et begrænset antal af registrerede – og kun hvis in</w:t>
      </w:r>
      <w:r w:rsidR="00977C86">
        <w:t>gen</w:t>
      </w:r>
      <w:r w:rsidR="006B443A">
        <w:t xml:space="preserve"> af de ovenforstående undtagelser kan anvendes. Derudover er det </w:t>
      </w:r>
      <w:r w:rsidR="00455B64">
        <w:t>ligeledes</w:t>
      </w:r>
      <w:r w:rsidR="006B443A">
        <w:t xml:space="preserve"> en betingelse, at den kompetente </w:t>
      </w:r>
      <w:r w:rsidR="00977C86">
        <w:t xml:space="preserve">tilsynsmyndighed </w:t>
      </w:r>
      <w:r w:rsidR="00166E36">
        <w:t xml:space="preserve">informeres </w:t>
      </w:r>
      <w:r w:rsidR="006B443A">
        <w:t xml:space="preserve">om </w:t>
      </w:r>
      <w:r>
        <w:t>overførslen</w:t>
      </w:r>
      <w:r w:rsidR="006B443A">
        <w:t xml:space="preserve">, og at den registrerede </w:t>
      </w:r>
      <w:r w:rsidR="00166E36">
        <w:t xml:space="preserve">samtidig </w:t>
      </w:r>
      <w:r w:rsidR="001C1A0E">
        <w:t>meddeles</w:t>
      </w:r>
      <w:r w:rsidR="006B443A">
        <w:t xml:space="preserve"> om </w:t>
      </w:r>
      <w:r>
        <w:t>overførslen</w:t>
      </w:r>
      <w:r w:rsidR="007C2773">
        <w:t xml:space="preserve"> og</w:t>
      </w:r>
      <w:r w:rsidR="005E093E">
        <w:t xml:space="preserve"> </w:t>
      </w:r>
      <w:r w:rsidR="00D974A3">
        <w:t xml:space="preserve">de vægtige interesser, som </w:t>
      </w:r>
      <w:r w:rsidR="00C24365">
        <w:t xml:space="preserve">angiver årsagen til </w:t>
      </w:r>
      <w:r>
        <w:t>overførslen</w:t>
      </w:r>
      <w:r w:rsidR="00D974A3">
        <w:t xml:space="preserve">. </w:t>
      </w:r>
    </w:p>
    <w:p w14:paraId="07A529F7" w14:textId="77777777" w:rsidR="00405C8F" w:rsidRDefault="00405C8F">
      <w:pPr>
        <w:rPr>
          <w:b/>
        </w:rPr>
      </w:pPr>
    </w:p>
    <w:p w14:paraId="6647A20C" w14:textId="77777777" w:rsidR="0068438A" w:rsidRPr="0034329C" w:rsidRDefault="0068438A" w:rsidP="0068438A">
      <w:pPr>
        <w:rPr>
          <w:b/>
        </w:rPr>
      </w:pPr>
      <w:r>
        <w:rPr>
          <w:b/>
        </w:rPr>
        <w:t>Områder / sektorer, som er sikre</w:t>
      </w:r>
    </w:p>
    <w:p w14:paraId="6520A4D6" w14:textId="77777777" w:rsidR="0068438A" w:rsidRDefault="0068438A" w:rsidP="0068438A">
      <w:r>
        <w:t>EU-Kommissionen har udove</w:t>
      </w:r>
      <w:r w:rsidR="00977C86">
        <w:t>r</w:t>
      </w:r>
      <w:r>
        <w:t xml:space="preserve"> de sikre tredjelande også fastslået visse områder / sektorer i tredjelande, som på nuværende tidspunkt er vurderet som sikre. </w:t>
      </w:r>
    </w:p>
    <w:p w14:paraId="306096F6" w14:textId="77777777" w:rsidR="0068438A" w:rsidRDefault="0068438A" w:rsidP="0068438A">
      <w:r>
        <w:t>Det er herefter sikkert at:</w:t>
      </w:r>
    </w:p>
    <w:p w14:paraId="048C2074" w14:textId="71B81B2E" w:rsidR="0068438A" w:rsidRDefault="00977C86" w:rsidP="0068438A">
      <w:pPr>
        <w:pStyle w:val="Listeafsnit"/>
        <w:numPr>
          <w:ilvl w:val="0"/>
          <w:numId w:val="2"/>
        </w:numPr>
      </w:pPr>
      <w:r>
        <w:t>o</w:t>
      </w:r>
      <w:r w:rsidR="0068438A">
        <w:t>verføre oplysninger om flypassagerer til Australien</w:t>
      </w:r>
      <w:r w:rsidR="007932FB">
        <w:t>,</w:t>
      </w:r>
    </w:p>
    <w:p w14:paraId="0EC5C7C1" w14:textId="52F8AE67" w:rsidR="0068438A" w:rsidRDefault="0068438A" w:rsidP="0068438A">
      <w:pPr>
        <w:pStyle w:val="Listeafsnit"/>
        <w:numPr>
          <w:ilvl w:val="0"/>
          <w:numId w:val="2"/>
        </w:numPr>
      </w:pPr>
      <w:r>
        <w:t xml:space="preserve">sende personoplysninger til modtagere der er underlagt den canadiske Personal Information </w:t>
      </w:r>
      <w:proofErr w:type="spellStart"/>
      <w:r>
        <w:t>Protection</w:t>
      </w:r>
      <w:proofErr w:type="spellEnd"/>
      <w:r>
        <w:t xml:space="preserve"> and </w:t>
      </w:r>
      <w:proofErr w:type="spellStart"/>
      <w:r>
        <w:t>Eletronic</w:t>
      </w:r>
      <w:proofErr w:type="spellEnd"/>
      <w:r>
        <w:t xml:space="preserve"> Documents </w:t>
      </w:r>
      <w:proofErr w:type="spellStart"/>
      <w:r>
        <w:t>Act</w:t>
      </w:r>
      <w:proofErr w:type="spellEnd"/>
      <w:r>
        <w:t xml:space="preserve"> (PIPED </w:t>
      </w:r>
      <w:proofErr w:type="spellStart"/>
      <w:r>
        <w:t>Act</w:t>
      </w:r>
      <w:proofErr w:type="spellEnd"/>
      <w:r>
        <w:t>) (Canada)</w:t>
      </w:r>
      <w:r w:rsidR="004E5B7F">
        <w:t>,</w:t>
      </w:r>
    </w:p>
    <w:p w14:paraId="548CE0C6" w14:textId="678A1714" w:rsidR="0068438A" w:rsidRDefault="0068438A" w:rsidP="0068438A">
      <w:pPr>
        <w:pStyle w:val="Listeafsnit"/>
        <w:numPr>
          <w:ilvl w:val="0"/>
          <w:numId w:val="2"/>
        </w:numPr>
      </w:pPr>
      <w:r>
        <w:t>overføre oplysninger om flypassagerer til USA</w:t>
      </w:r>
      <w:r w:rsidR="004E5B7F">
        <w:t>,</w:t>
      </w:r>
    </w:p>
    <w:p w14:paraId="3B97E578" w14:textId="545EBD2A" w:rsidR="0068438A" w:rsidRDefault="0068438A" w:rsidP="0068438A">
      <w:pPr>
        <w:pStyle w:val="Listeafsnit"/>
        <w:numPr>
          <w:ilvl w:val="0"/>
          <w:numId w:val="2"/>
        </w:numPr>
      </w:pPr>
      <w:r>
        <w:lastRenderedPageBreak/>
        <w:t xml:space="preserve">overføre personoplysninger til virksomheder eller organisationer, der har tilsluttet sig EU-US. </w:t>
      </w:r>
      <w:proofErr w:type="spellStart"/>
      <w:r>
        <w:t>Privacy</w:t>
      </w:r>
      <w:proofErr w:type="spellEnd"/>
      <w:r>
        <w:t xml:space="preserve"> </w:t>
      </w:r>
      <w:proofErr w:type="spellStart"/>
      <w:r>
        <w:t>Shield</w:t>
      </w:r>
      <w:proofErr w:type="spellEnd"/>
      <w:r>
        <w:t xml:space="preserve"> (USA)</w:t>
      </w:r>
      <w:r w:rsidR="009046FB">
        <w:t>,</w:t>
      </w:r>
    </w:p>
    <w:p w14:paraId="4D4B08C1" w14:textId="77777777" w:rsidR="0068438A" w:rsidRDefault="0068438A" w:rsidP="0068438A">
      <w:pPr>
        <w:pStyle w:val="Listeafsnit"/>
        <w:numPr>
          <w:ilvl w:val="0"/>
          <w:numId w:val="2"/>
        </w:numPr>
      </w:pPr>
      <w:r>
        <w:t xml:space="preserve">overføre oplysninger til (private) organisationer, der falder ind under den japanske </w:t>
      </w:r>
      <w:proofErr w:type="spellStart"/>
      <w:r>
        <w:t>Act</w:t>
      </w:r>
      <w:proofErr w:type="spellEnd"/>
      <w:r>
        <w:t xml:space="preserve"> on the </w:t>
      </w:r>
      <w:proofErr w:type="spellStart"/>
      <w:r>
        <w:t>Protection</w:t>
      </w:r>
      <w:proofErr w:type="spellEnd"/>
      <w:r>
        <w:t xml:space="preserve"> of Personal Information (APPI) (Japan). </w:t>
      </w:r>
    </w:p>
    <w:p w14:paraId="529BBDFC" w14:textId="77777777" w:rsidR="0068438A" w:rsidRDefault="0068438A" w:rsidP="0068438A">
      <w:pPr>
        <w:pStyle w:val="Listeafsnit"/>
      </w:pPr>
    </w:p>
    <w:p w14:paraId="3BD45FA3" w14:textId="77777777" w:rsidR="00065B90" w:rsidRDefault="00065B90">
      <w:pPr>
        <w:rPr>
          <w:b/>
        </w:rPr>
      </w:pPr>
    </w:p>
    <w:p w14:paraId="5D65CA0D" w14:textId="77777777" w:rsidR="00065B90" w:rsidRPr="0025344E" w:rsidRDefault="00065B90">
      <w:pPr>
        <w:rPr>
          <w:b/>
        </w:rPr>
      </w:pPr>
    </w:p>
    <w:sectPr w:rsidR="00065B90" w:rsidRPr="0025344E">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DECE8" w14:textId="77777777" w:rsidR="004C3693" w:rsidRDefault="004C3693" w:rsidP="00486A79">
      <w:pPr>
        <w:spacing w:after="0" w:line="240" w:lineRule="auto"/>
      </w:pPr>
      <w:r>
        <w:separator/>
      </w:r>
    </w:p>
  </w:endnote>
  <w:endnote w:type="continuationSeparator" w:id="0">
    <w:p w14:paraId="4DAFB0B1" w14:textId="77777777" w:rsidR="004C3693" w:rsidRDefault="004C3693" w:rsidP="004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35926" w14:textId="77777777" w:rsidR="004C3693" w:rsidRDefault="004C3693" w:rsidP="00486A79">
      <w:pPr>
        <w:spacing w:after="0" w:line="240" w:lineRule="auto"/>
      </w:pPr>
      <w:r>
        <w:separator/>
      </w:r>
    </w:p>
  </w:footnote>
  <w:footnote w:type="continuationSeparator" w:id="0">
    <w:p w14:paraId="0C0027BD" w14:textId="77777777" w:rsidR="004C3693" w:rsidRDefault="004C3693" w:rsidP="00486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45DB6" w14:textId="77777777" w:rsidR="00550150" w:rsidRDefault="00550150" w:rsidP="00550150">
    <w:pPr>
      <w:pStyle w:val="Sidehoved"/>
      <w:pBdr>
        <w:bottom w:val="single" w:sz="12" w:space="1" w:color="auto"/>
      </w:pBdr>
      <w:jc w:val="right"/>
    </w:pPr>
  </w:p>
  <w:p w14:paraId="76567077" w14:textId="77777777" w:rsidR="00550150" w:rsidRDefault="005501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3364E"/>
    <w:multiLevelType w:val="hybridMultilevel"/>
    <w:tmpl w:val="687850BC"/>
    <w:lvl w:ilvl="0" w:tplc="4BC05DD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2A79F6"/>
    <w:multiLevelType w:val="hybridMultilevel"/>
    <w:tmpl w:val="00DA0530"/>
    <w:lvl w:ilvl="0" w:tplc="27D814D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78656AF"/>
    <w:multiLevelType w:val="hybridMultilevel"/>
    <w:tmpl w:val="9900FF7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E3E01B9"/>
    <w:multiLevelType w:val="hybridMultilevel"/>
    <w:tmpl w:val="9D0EC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4E"/>
    <w:rsid w:val="0000763D"/>
    <w:rsid w:val="000146E7"/>
    <w:rsid w:val="00024991"/>
    <w:rsid w:val="000469A8"/>
    <w:rsid w:val="0005575D"/>
    <w:rsid w:val="00065B90"/>
    <w:rsid w:val="000663CF"/>
    <w:rsid w:val="0009082D"/>
    <w:rsid w:val="00091646"/>
    <w:rsid w:val="000B72A6"/>
    <w:rsid w:val="000C1F22"/>
    <w:rsid w:val="000F634C"/>
    <w:rsid w:val="00116685"/>
    <w:rsid w:val="001210B6"/>
    <w:rsid w:val="00137F23"/>
    <w:rsid w:val="0014015E"/>
    <w:rsid w:val="00154133"/>
    <w:rsid w:val="00155A47"/>
    <w:rsid w:val="00166E36"/>
    <w:rsid w:val="00172175"/>
    <w:rsid w:val="00173824"/>
    <w:rsid w:val="00174A12"/>
    <w:rsid w:val="00184F32"/>
    <w:rsid w:val="001B1D84"/>
    <w:rsid w:val="001C1A0E"/>
    <w:rsid w:val="001D22D2"/>
    <w:rsid w:val="00201E39"/>
    <w:rsid w:val="00202589"/>
    <w:rsid w:val="00205AE6"/>
    <w:rsid w:val="00217425"/>
    <w:rsid w:val="002231A0"/>
    <w:rsid w:val="00232DBD"/>
    <w:rsid w:val="00241251"/>
    <w:rsid w:val="00242066"/>
    <w:rsid w:val="00244CA6"/>
    <w:rsid w:val="00252B0D"/>
    <w:rsid w:val="0025344E"/>
    <w:rsid w:val="00264339"/>
    <w:rsid w:val="002801D0"/>
    <w:rsid w:val="002867D2"/>
    <w:rsid w:val="00287388"/>
    <w:rsid w:val="0029435D"/>
    <w:rsid w:val="002A2DE1"/>
    <w:rsid w:val="002A6AE6"/>
    <w:rsid w:val="002C5FB0"/>
    <w:rsid w:val="00321F4B"/>
    <w:rsid w:val="00355848"/>
    <w:rsid w:val="003902F5"/>
    <w:rsid w:val="003D1782"/>
    <w:rsid w:val="003D1F93"/>
    <w:rsid w:val="003E4952"/>
    <w:rsid w:val="003E6D26"/>
    <w:rsid w:val="003F0E50"/>
    <w:rsid w:val="00405C8F"/>
    <w:rsid w:val="00406F1E"/>
    <w:rsid w:val="00411439"/>
    <w:rsid w:val="0042754A"/>
    <w:rsid w:val="004460D1"/>
    <w:rsid w:val="00451A0E"/>
    <w:rsid w:val="00455149"/>
    <w:rsid w:val="00455B64"/>
    <w:rsid w:val="0045676D"/>
    <w:rsid w:val="0046398A"/>
    <w:rsid w:val="004644FC"/>
    <w:rsid w:val="004746C1"/>
    <w:rsid w:val="00486A79"/>
    <w:rsid w:val="004938D8"/>
    <w:rsid w:val="004A7411"/>
    <w:rsid w:val="004B235C"/>
    <w:rsid w:val="004B6322"/>
    <w:rsid w:val="004C3693"/>
    <w:rsid w:val="004C5178"/>
    <w:rsid w:val="004E460A"/>
    <w:rsid w:val="004E5B7F"/>
    <w:rsid w:val="004E7D88"/>
    <w:rsid w:val="00503BE8"/>
    <w:rsid w:val="00506E6E"/>
    <w:rsid w:val="00522789"/>
    <w:rsid w:val="0053554A"/>
    <w:rsid w:val="00550150"/>
    <w:rsid w:val="005577C3"/>
    <w:rsid w:val="005A21B7"/>
    <w:rsid w:val="005A7C22"/>
    <w:rsid w:val="005B1D1F"/>
    <w:rsid w:val="005D1DF9"/>
    <w:rsid w:val="005E093E"/>
    <w:rsid w:val="0060766B"/>
    <w:rsid w:val="00617CCD"/>
    <w:rsid w:val="00662F0D"/>
    <w:rsid w:val="006753F0"/>
    <w:rsid w:val="006812B6"/>
    <w:rsid w:val="0068438A"/>
    <w:rsid w:val="00685E81"/>
    <w:rsid w:val="00695343"/>
    <w:rsid w:val="006B443A"/>
    <w:rsid w:val="006C5168"/>
    <w:rsid w:val="006E5C2A"/>
    <w:rsid w:val="007328F5"/>
    <w:rsid w:val="007808D0"/>
    <w:rsid w:val="007932FB"/>
    <w:rsid w:val="007958C0"/>
    <w:rsid w:val="007C092D"/>
    <w:rsid w:val="007C2773"/>
    <w:rsid w:val="007C31FF"/>
    <w:rsid w:val="007C5DE7"/>
    <w:rsid w:val="007C7829"/>
    <w:rsid w:val="007D50B0"/>
    <w:rsid w:val="007F143F"/>
    <w:rsid w:val="00801B98"/>
    <w:rsid w:val="00824E82"/>
    <w:rsid w:val="00825F05"/>
    <w:rsid w:val="008269F5"/>
    <w:rsid w:val="0084173E"/>
    <w:rsid w:val="00856001"/>
    <w:rsid w:val="00874EB2"/>
    <w:rsid w:val="0087673A"/>
    <w:rsid w:val="00893A20"/>
    <w:rsid w:val="008A638E"/>
    <w:rsid w:val="008A7736"/>
    <w:rsid w:val="008C3F73"/>
    <w:rsid w:val="008D66FB"/>
    <w:rsid w:val="009046FB"/>
    <w:rsid w:val="00907B6C"/>
    <w:rsid w:val="00922A7C"/>
    <w:rsid w:val="00933452"/>
    <w:rsid w:val="00933BD3"/>
    <w:rsid w:val="00934306"/>
    <w:rsid w:val="00934A4C"/>
    <w:rsid w:val="00973E63"/>
    <w:rsid w:val="009757D2"/>
    <w:rsid w:val="00977C86"/>
    <w:rsid w:val="009816D9"/>
    <w:rsid w:val="0099592E"/>
    <w:rsid w:val="009A0F6F"/>
    <w:rsid w:val="009A4931"/>
    <w:rsid w:val="00A01502"/>
    <w:rsid w:val="00A10FCB"/>
    <w:rsid w:val="00A22582"/>
    <w:rsid w:val="00A46266"/>
    <w:rsid w:val="00A6774A"/>
    <w:rsid w:val="00A77F50"/>
    <w:rsid w:val="00A82463"/>
    <w:rsid w:val="00A96B4D"/>
    <w:rsid w:val="00AA1BF8"/>
    <w:rsid w:val="00AA3BCF"/>
    <w:rsid w:val="00AB26CD"/>
    <w:rsid w:val="00AB67C0"/>
    <w:rsid w:val="00B13495"/>
    <w:rsid w:val="00B14E8C"/>
    <w:rsid w:val="00B15A11"/>
    <w:rsid w:val="00B210C6"/>
    <w:rsid w:val="00B22E2C"/>
    <w:rsid w:val="00B2750C"/>
    <w:rsid w:val="00B56FD6"/>
    <w:rsid w:val="00B844C6"/>
    <w:rsid w:val="00BA38A8"/>
    <w:rsid w:val="00BB0106"/>
    <w:rsid w:val="00BE03AD"/>
    <w:rsid w:val="00BE6001"/>
    <w:rsid w:val="00BF7931"/>
    <w:rsid w:val="00C05557"/>
    <w:rsid w:val="00C11C08"/>
    <w:rsid w:val="00C136E5"/>
    <w:rsid w:val="00C20027"/>
    <w:rsid w:val="00C24365"/>
    <w:rsid w:val="00C2759A"/>
    <w:rsid w:val="00C31024"/>
    <w:rsid w:val="00C3403F"/>
    <w:rsid w:val="00C6012C"/>
    <w:rsid w:val="00C725A0"/>
    <w:rsid w:val="00C728DE"/>
    <w:rsid w:val="00C7298A"/>
    <w:rsid w:val="00C9447B"/>
    <w:rsid w:val="00C97EB9"/>
    <w:rsid w:val="00CA0798"/>
    <w:rsid w:val="00CB3141"/>
    <w:rsid w:val="00CC6C1E"/>
    <w:rsid w:val="00D15439"/>
    <w:rsid w:val="00D24454"/>
    <w:rsid w:val="00D32B23"/>
    <w:rsid w:val="00D50E3F"/>
    <w:rsid w:val="00D57807"/>
    <w:rsid w:val="00D6133D"/>
    <w:rsid w:val="00D640C8"/>
    <w:rsid w:val="00D77344"/>
    <w:rsid w:val="00D8641E"/>
    <w:rsid w:val="00D94738"/>
    <w:rsid w:val="00D94B9E"/>
    <w:rsid w:val="00D974A3"/>
    <w:rsid w:val="00DB4763"/>
    <w:rsid w:val="00DC3DA4"/>
    <w:rsid w:val="00DC4CDF"/>
    <w:rsid w:val="00DD6C35"/>
    <w:rsid w:val="00E0246B"/>
    <w:rsid w:val="00E11ACD"/>
    <w:rsid w:val="00E43D55"/>
    <w:rsid w:val="00E96CCA"/>
    <w:rsid w:val="00EA2B85"/>
    <w:rsid w:val="00EB090B"/>
    <w:rsid w:val="00EB22F0"/>
    <w:rsid w:val="00ED5E1A"/>
    <w:rsid w:val="00F00B4E"/>
    <w:rsid w:val="00F013FD"/>
    <w:rsid w:val="00F01D2D"/>
    <w:rsid w:val="00F07A22"/>
    <w:rsid w:val="00F1681B"/>
    <w:rsid w:val="00F2063E"/>
    <w:rsid w:val="00F21469"/>
    <w:rsid w:val="00F7521E"/>
    <w:rsid w:val="00FC1168"/>
    <w:rsid w:val="00FC50FA"/>
    <w:rsid w:val="00FE6256"/>
    <w:rsid w:val="00FF1A5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4DC5"/>
  <w15:chartTrackingRefBased/>
  <w15:docId w15:val="{8D471925-F73C-4CDB-9B95-B32E9A5F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844C6"/>
    <w:pPr>
      <w:ind w:left="720"/>
      <w:contextualSpacing/>
    </w:pPr>
  </w:style>
  <w:style w:type="table" w:styleId="Tabel-Gitter">
    <w:name w:val="Table Grid"/>
    <w:basedOn w:val="Tabel-Normal"/>
    <w:uiPriority w:val="39"/>
    <w:rsid w:val="00C7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0908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9082D"/>
    <w:rPr>
      <w:rFonts w:ascii="Segoe UI" w:hAnsi="Segoe UI" w:cs="Segoe UI"/>
      <w:sz w:val="18"/>
      <w:szCs w:val="18"/>
    </w:rPr>
  </w:style>
  <w:style w:type="paragraph" w:styleId="Titel">
    <w:name w:val="Title"/>
    <w:basedOn w:val="Normal"/>
    <w:next w:val="Normal"/>
    <w:link w:val="TitelTegn"/>
    <w:uiPriority w:val="10"/>
    <w:qFormat/>
    <w:rsid w:val="00090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9082D"/>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A96B4D"/>
    <w:rPr>
      <w:sz w:val="16"/>
      <w:szCs w:val="16"/>
    </w:rPr>
  </w:style>
  <w:style w:type="paragraph" w:styleId="Kommentartekst">
    <w:name w:val="annotation text"/>
    <w:basedOn w:val="Normal"/>
    <w:link w:val="KommentartekstTegn"/>
    <w:uiPriority w:val="99"/>
    <w:semiHidden/>
    <w:unhideWhenUsed/>
    <w:rsid w:val="00A96B4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96B4D"/>
    <w:rPr>
      <w:sz w:val="20"/>
      <w:szCs w:val="20"/>
    </w:rPr>
  </w:style>
  <w:style w:type="paragraph" w:styleId="Kommentaremne">
    <w:name w:val="annotation subject"/>
    <w:basedOn w:val="Kommentartekst"/>
    <w:next w:val="Kommentartekst"/>
    <w:link w:val="KommentaremneTegn"/>
    <w:uiPriority w:val="99"/>
    <w:semiHidden/>
    <w:unhideWhenUsed/>
    <w:rsid w:val="00A96B4D"/>
    <w:rPr>
      <w:b/>
      <w:bCs/>
    </w:rPr>
  </w:style>
  <w:style w:type="character" w:customStyle="1" w:styleId="KommentaremneTegn">
    <w:name w:val="Kommentaremne Tegn"/>
    <w:basedOn w:val="KommentartekstTegn"/>
    <w:link w:val="Kommentaremne"/>
    <w:uiPriority w:val="99"/>
    <w:semiHidden/>
    <w:rsid w:val="00A96B4D"/>
    <w:rPr>
      <w:b/>
      <w:bCs/>
      <w:sz w:val="20"/>
      <w:szCs w:val="20"/>
    </w:rPr>
  </w:style>
  <w:style w:type="paragraph" w:styleId="Sidehoved">
    <w:name w:val="header"/>
    <w:basedOn w:val="Normal"/>
    <w:link w:val="SidehovedTegn"/>
    <w:uiPriority w:val="99"/>
    <w:unhideWhenUsed/>
    <w:rsid w:val="00486A7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86A79"/>
  </w:style>
  <w:style w:type="paragraph" w:styleId="Sidefod">
    <w:name w:val="footer"/>
    <w:basedOn w:val="Normal"/>
    <w:link w:val="SidefodTegn"/>
    <w:uiPriority w:val="99"/>
    <w:unhideWhenUsed/>
    <w:rsid w:val="00486A7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86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25079-D7A3-466E-804D-790CF87D8AAF}">
  <ds:schemaRefs>
    <ds:schemaRef ds:uri="http://schemas.microsoft.com/sharepoint/v3/contenttype/forms"/>
  </ds:schemaRefs>
</ds:datastoreItem>
</file>

<file path=customXml/itemProps2.xml><?xml version="1.0" encoding="utf-8"?>
<ds:datastoreItem xmlns:ds="http://schemas.openxmlformats.org/officeDocument/2006/customXml" ds:itemID="{F393B359-C81D-435A-871D-84F4B259E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061F7-B3D0-4EF1-B36C-3A7E1CBD59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1925</Words>
  <Characters>11747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Karen-Emilie Brandstrup Larsen</dc:creator>
  <cp:keywords/>
  <dc:description/>
  <cp:lastModifiedBy>Maria Brandt</cp:lastModifiedBy>
  <cp:revision>175</cp:revision>
  <dcterms:created xsi:type="dcterms:W3CDTF">2019-09-25T10:23:00Z</dcterms:created>
  <dcterms:modified xsi:type="dcterms:W3CDTF">2020-10-20T06:11:00Z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