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6482" w14:textId="77777777" w:rsidR="00555D5C" w:rsidRDefault="00555D5C" w:rsidP="001C0EB8">
      <w:pPr>
        <w:pStyle w:val="Titel"/>
        <w:jc w:val="center"/>
      </w:pPr>
    </w:p>
    <w:p w14:paraId="7721581C" w14:textId="77777777" w:rsidR="00555D5C" w:rsidRDefault="00555D5C" w:rsidP="001C0EB8">
      <w:pPr>
        <w:pStyle w:val="Titel"/>
        <w:jc w:val="center"/>
      </w:pPr>
    </w:p>
    <w:p w14:paraId="4D56D1C3" w14:textId="77777777" w:rsidR="00555D5C" w:rsidRDefault="00555D5C" w:rsidP="001C0EB8">
      <w:pPr>
        <w:pStyle w:val="Titel"/>
        <w:jc w:val="center"/>
      </w:pPr>
    </w:p>
    <w:p w14:paraId="77BDD68E" w14:textId="553E2D25" w:rsidR="00555D5C" w:rsidRDefault="001C0EB8" w:rsidP="001C0EB8">
      <w:pPr>
        <w:pStyle w:val="Titel"/>
        <w:jc w:val="center"/>
      </w:pPr>
      <w:r>
        <w:t>VEJLEDNING</w:t>
      </w:r>
      <w:r>
        <w:br/>
      </w:r>
    </w:p>
    <w:p w14:paraId="6881E15C" w14:textId="16B6A3FD" w:rsidR="001C0EB8" w:rsidRPr="001C0EB8" w:rsidRDefault="001C0EB8" w:rsidP="001C0EB8">
      <w:pPr>
        <w:pStyle w:val="Titel"/>
        <w:jc w:val="center"/>
      </w:pPr>
      <w:r>
        <w:t>RISIKOVURDERING</w:t>
      </w:r>
    </w:p>
    <w:p w14:paraId="7C6F7412" w14:textId="77777777" w:rsidR="0098386B" w:rsidRDefault="0098386B"/>
    <w:p w14:paraId="5AC4DEC2" w14:textId="77777777" w:rsidR="0098386B" w:rsidRDefault="0098386B"/>
    <w:p w14:paraId="4DA2A665" w14:textId="77777777" w:rsidR="0098386B" w:rsidRDefault="0098386B"/>
    <w:p w14:paraId="73D65C6F" w14:textId="77777777" w:rsidR="0098386B" w:rsidRDefault="0098386B"/>
    <w:p w14:paraId="01A5162C" w14:textId="77777777" w:rsidR="0098386B" w:rsidRDefault="0098386B"/>
    <w:p w14:paraId="35505599" w14:textId="77777777" w:rsidR="0098386B" w:rsidRDefault="0098386B"/>
    <w:p w14:paraId="65F0B096" w14:textId="77777777" w:rsidR="0098386B" w:rsidRDefault="0098386B"/>
    <w:p w14:paraId="5DB3664F" w14:textId="77777777" w:rsidR="0098386B" w:rsidRDefault="0098386B"/>
    <w:p w14:paraId="4668D7F0" w14:textId="77777777" w:rsidR="0098386B" w:rsidRDefault="0098386B"/>
    <w:p w14:paraId="3F30F9F7" w14:textId="77777777" w:rsidR="0098386B" w:rsidRDefault="0098386B"/>
    <w:p w14:paraId="54F24229" w14:textId="77777777" w:rsidR="0098386B" w:rsidRDefault="0098386B"/>
    <w:p w14:paraId="6CE0F908" w14:textId="77777777" w:rsidR="0098386B" w:rsidRDefault="0098386B"/>
    <w:p w14:paraId="0DBE9574" w14:textId="77777777" w:rsidR="0098386B" w:rsidRDefault="0098386B"/>
    <w:p w14:paraId="63784C32" w14:textId="77777777" w:rsidR="0098386B" w:rsidRDefault="0098386B"/>
    <w:p w14:paraId="190FF7D4" w14:textId="77777777" w:rsidR="0098386B" w:rsidRDefault="0098386B"/>
    <w:p w14:paraId="14A33571" w14:textId="77777777" w:rsidR="0098386B" w:rsidRDefault="0098386B"/>
    <w:p w14:paraId="5445F715" w14:textId="77777777" w:rsidR="0098386B" w:rsidRDefault="0098386B"/>
    <w:p w14:paraId="1B24C1F7" w14:textId="77777777" w:rsidR="0098386B" w:rsidRDefault="0098386B"/>
    <w:p w14:paraId="6C31D255" w14:textId="77777777" w:rsidR="0098386B" w:rsidRDefault="0098386B"/>
    <w:p w14:paraId="70AEB2CC" w14:textId="77777777" w:rsidR="00555D5C" w:rsidRDefault="00555D5C">
      <w:pPr>
        <w:rPr>
          <w:b/>
        </w:rPr>
      </w:pPr>
      <w:r>
        <w:rPr>
          <w:b/>
        </w:rPr>
        <w:br w:type="page"/>
      </w:r>
    </w:p>
    <w:p w14:paraId="705279DB" w14:textId="7E0A6AC3" w:rsidR="00501131" w:rsidRDefault="00501131">
      <w:pPr>
        <w:rPr>
          <w:b/>
        </w:rPr>
      </w:pPr>
      <w:r>
        <w:rPr>
          <w:b/>
        </w:rPr>
        <w:lastRenderedPageBreak/>
        <w:t xml:space="preserve">Hvorfor en risikovurdering? </w:t>
      </w:r>
    </w:p>
    <w:p w14:paraId="22278162" w14:textId="78120CE2" w:rsidR="00585BCA" w:rsidRPr="00585BCA" w:rsidRDefault="00501131">
      <w:r w:rsidRPr="00501131">
        <w:t xml:space="preserve">Datasikkerhed kan siges at være </w:t>
      </w:r>
      <w:r w:rsidR="002E5063">
        <w:t>D</w:t>
      </w:r>
      <w:r w:rsidR="006714EC">
        <w:t>atabeskyttelses</w:t>
      </w:r>
      <w:r w:rsidRPr="00501131">
        <w:t xml:space="preserve">forordningens hovedformål. </w:t>
      </w:r>
      <w:r>
        <w:t>De sikkerhedsforanstaltninger, den enkelte virksomhed eller den enkelte organisation skal foretage for at sikre datasikkerheden, skal vælges ud fra og på baggrund af en konkret risikovurdering.</w:t>
      </w:r>
      <w:r w:rsidR="006714EC">
        <w:t xml:space="preserve"> Forordningen </w:t>
      </w:r>
      <w:r w:rsidR="002026C0">
        <w:t>opstiller</w:t>
      </w:r>
      <w:r w:rsidR="006714EC">
        <w:t xml:space="preserve"> ikke en række faste krav til, hvordan hver virksomhed eller organisation skal håndtere deres datasikkerhed</w:t>
      </w:r>
      <w:r w:rsidR="002026C0">
        <w:t>. F</w:t>
      </w:r>
      <w:r w:rsidR="006714EC">
        <w:t>orordningen lader det være op til den enkelte</w:t>
      </w:r>
      <w:r w:rsidR="002026C0">
        <w:t xml:space="preserve"> virksomhed eller organisation at vurdere hvilke sikkerhedsforanstaltninger</w:t>
      </w:r>
      <w:r w:rsidR="00DB79BB">
        <w:t>,</w:t>
      </w:r>
      <w:r w:rsidR="002026C0">
        <w:t xml:space="preserve"> </w:t>
      </w:r>
      <w:r w:rsidR="00E82305">
        <w:t xml:space="preserve">der </w:t>
      </w:r>
      <w:r w:rsidR="002026C0">
        <w:t>skal til for at sikre datasikkerheden.</w:t>
      </w:r>
    </w:p>
    <w:p w14:paraId="41B09183" w14:textId="7BBE36F8" w:rsidR="00585BCA" w:rsidRDefault="002026C0">
      <w:r>
        <w:t xml:space="preserve">Datasikkerheden skal </w:t>
      </w:r>
      <w:r w:rsidR="00FB18E3">
        <w:t xml:space="preserve">altså </w:t>
      </w:r>
      <w:r>
        <w:t xml:space="preserve">sikres ved en risikobaseret tilgang. </w:t>
      </w:r>
      <w:r w:rsidR="0015162D">
        <w:t>Det vil sig, at det er d</w:t>
      </w:r>
      <w:r w:rsidR="00501131">
        <w:t xml:space="preserve">e risici som er forbundet med </w:t>
      </w:r>
      <w:r w:rsidR="009617EF">
        <w:t xml:space="preserve">en bestemt behandling af </w:t>
      </w:r>
      <w:r>
        <w:t>person</w:t>
      </w:r>
      <w:r w:rsidR="0015162D">
        <w:t>oplysninger</w:t>
      </w:r>
      <w:r>
        <w:t>,</w:t>
      </w:r>
      <w:r w:rsidR="009617EF">
        <w:t xml:space="preserve"> </w:t>
      </w:r>
      <w:r w:rsidR="0015162D">
        <w:t xml:space="preserve">som </w:t>
      </w:r>
      <w:r w:rsidR="009617EF">
        <w:t xml:space="preserve">spiller en afgørende rolle for hvilke foranstaltninger, man som dataansvarlig </w:t>
      </w:r>
      <w:r w:rsidR="005E2F3B">
        <w:t xml:space="preserve">konkret </w:t>
      </w:r>
      <w:r w:rsidR="009617EF">
        <w:t xml:space="preserve">skal iværksætte. </w:t>
      </w:r>
      <w:r w:rsidR="0015162D">
        <w:t>Ikke alle virksomhed</w:t>
      </w:r>
      <w:r w:rsidR="007D2961">
        <w:t>er</w:t>
      </w:r>
      <w:r w:rsidR="0015162D">
        <w:t xml:space="preserve"> eller organisationer er ens, og risi</w:t>
      </w:r>
      <w:r w:rsidR="007D2961">
        <w:t>ko</w:t>
      </w:r>
      <w:r w:rsidR="003B6BAE">
        <w:t>en</w:t>
      </w:r>
      <w:r w:rsidR="0015162D">
        <w:t xml:space="preserve"> for</w:t>
      </w:r>
      <w:r w:rsidR="00A07369">
        <w:t xml:space="preserve"> at der sker</w:t>
      </w:r>
      <w:r w:rsidR="0015162D">
        <w:t xml:space="preserve"> brud på datasikkerheden varierer i et meget stort omfang.</w:t>
      </w:r>
      <w:r w:rsidR="00D54EF4">
        <w:t xml:space="preserve"> Derfor </w:t>
      </w:r>
      <w:r w:rsidR="007A0666">
        <w:t>skal</w:t>
      </w:r>
      <w:r w:rsidR="00D54EF4">
        <w:t xml:space="preserve"> sikkerhedsforanstaltninger fastlægges alt efter hvilke risici </w:t>
      </w:r>
      <w:r w:rsidR="00C92575">
        <w:t>der</w:t>
      </w:r>
      <w:r w:rsidR="00D54EF4">
        <w:t xml:space="preserve"> foreligger </w:t>
      </w:r>
      <w:r w:rsidR="007A0666">
        <w:t>for den enkelte virksomhed eller organisation</w:t>
      </w:r>
      <w:r w:rsidR="00D54EF4">
        <w:t xml:space="preserve">. </w:t>
      </w:r>
    </w:p>
    <w:p w14:paraId="2DCB2402" w14:textId="6664D28D" w:rsidR="0019597A" w:rsidRDefault="0019597A">
      <w:r>
        <w:t>Det som skal underlægges en vurdering er de risici</w:t>
      </w:r>
      <w:r w:rsidR="0018374E">
        <w:t>,</w:t>
      </w:r>
      <w:r>
        <w:t xml:space="preserve"> der foreligger for de registreredes rettigheder. Vurdering handler om, hvilke risici en virksomhed eller en organisation udsætter den registreredes personoplysninger for. </w:t>
      </w:r>
    </w:p>
    <w:p w14:paraId="65313D43" w14:textId="77777777" w:rsidR="0019597A" w:rsidRDefault="0019597A">
      <w:pPr>
        <w:rPr>
          <w:b/>
        </w:rPr>
      </w:pPr>
    </w:p>
    <w:p w14:paraId="2D0819B2" w14:textId="77777777" w:rsidR="00585BCA" w:rsidRDefault="00585BCA">
      <w:pPr>
        <w:rPr>
          <w:b/>
        </w:rPr>
      </w:pPr>
      <w:r>
        <w:rPr>
          <w:b/>
        </w:rPr>
        <w:t xml:space="preserve">Eksempel på opbygning af en risikovurdering: </w:t>
      </w:r>
    </w:p>
    <w:p w14:paraId="4E22EFBB" w14:textId="7F1388F0" w:rsidR="00585BCA" w:rsidRDefault="00C1290F">
      <w:r w:rsidRPr="00C1290F">
        <w:t>Databeskyttel</w:t>
      </w:r>
      <w:r>
        <w:t>s</w:t>
      </w:r>
      <w:r w:rsidRPr="00C1290F">
        <w:t>es</w:t>
      </w:r>
      <w:r>
        <w:t xml:space="preserve">forordningen stiller ikke krav </w:t>
      </w:r>
      <w:r w:rsidR="00FF6D14">
        <w:t xml:space="preserve">til hvor detaljeret eller hvor grundig denne risikovurdering skal være. Forordningen siger blot, at den dataansvarlige skal fastlægge et </w:t>
      </w:r>
      <w:r w:rsidR="00FF6D14" w:rsidRPr="004B371D">
        <w:rPr>
          <w:i/>
          <w:iCs/>
        </w:rPr>
        <w:t>passende sikkerhedsniveau</w:t>
      </w:r>
      <w:r w:rsidR="00FF6D14">
        <w:t xml:space="preserve"> i forhold til de risici, som er relevante for den konkrete persondatabehandling. </w:t>
      </w:r>
    </w:p>
    <w:p w14:paraId="2D53BF5D" w14:textId="201BD183" w:rsidR="00FF6D14" w:rsidRDefault="00A757EF">
      <w:r>
        <w:t xml:space="preserve">Til at starte med er det en god </w:t>
      </w:r>
      <w:r w:rsidR="005F26AE">
        <w:t>ide</w:t>
      </w:r>
      <w:r>
        <w:t xml:space="preserve"> at </w:t>
      </w:r>
      <w:r w:rsidR="003665AB">
        <w:t xml:space="preserve">skabe </w:t>
      </w:r>
      <w:r w:rsidR="00A97541">
        <w:t>et overblik over informationsaktiverne i virksomheden eller i organisationen.</w:t>
      </w:r>
      <w:r w:rsidR="007D2961">
        <w:t xml:space="preserve"> Dette skyldes</w:t>
      </w:r>
      <w:r w:rsidR="004B371D">
        <w:t>,</w:t>
      </w:r>
      <w:r w:rsidR="007D2961">
        <w:t xml:space="preserve"> at disse informationsaktiver bør være omdrejningspunkt for selve risikovurderingen.</w:t>
      </w:r>
      <w:r w:rsidR="00A97541">
        <w:t xml:space="preserve"> </w:t>
      </w:r>
      <w:r w:rsidR="005F26AE">
        <w:t>Et informationsaktiv er der</w:t>
      </w:r>
      <w:r w:rsidR="004A528B">
        <w:t>,</w:t>
      </w:r>
      <w:r w:rsidR="005F26AE">
        <w:t xml:space="preserve"> hvor personoplysningerne behandles. Dette kan være it-systemer, servere, kommunikationskanaler og lign</w:t>
      </w:r>
      <w:r w:rsidR="00CD1304">
        <w:t>ende</w:t>
      </w:r>
      <w:r w:rsidR="005F26AE">
        <w:t>.</w:t>
      </w:r>
    </w:p>
    <w:p w14:paraId="00E111E1" w14:textId="05AB318E" w:rsidR="005F26AE" w:rsidRDefault="00352938">
      <w:r>
        <w:t>Når man skal sikre datasikkerheden er de</w:t>
      </w:r>
      <w:r w:rsidR="00061898">
        <w:t xml:space="preserve">r tre ting som er </w:t>
      </w:r>
      <w:r>
        <w:t>essentiel</w:t>
      </w:r>
      <w:r w:rsidR="00061898">
        <w:t>le.</w:t>
      </w:r>
      <w:r>
        <w:t xml:space="preserve"> </w:t>
      </w:r>
      <w:r w:rsidR="00061898">
        <w:t xml:space="preserve">Disse tre ting drejer sig om fortrolighed, tilgængelighed og integritet. </w:t>
      </w:r>
    </w:p>
    <w:p w14:paraId="557795F7" w14:textId="5EB86D3A" w:rsidR="00061898" w:rsidRDefault="00061898">
      <w:r>
        <w:t xml:space="preserve">Fortrolighed </w:t>
      </w:r>
      <w:r w:rsidR="00F430F9">
        <w:t>indebærer,</w:t>
      </w:r>
      <w:r>
        <w:t xml:space="preserve"> at</w:t>
      </w:r>
      <w:r w:rsidR="00752A80">
        <w:t xml:space="preserve"> der skal</w:t>
      </w:r>
      <w:r>
        <w:t xml:space="preserve"> </w:t>
      </w:r>
      <w:r w:rsidR="00974874">
        <w:t>forhindre</w:t>
      </w:r>
      <w:r w:rsidR="00752A80">
        <w:t>s</w:t>
      </w:r>
      <w:r w:rsidR="007533BD">
        <w:t xml:space="preserve"> </w:t>
      </w:r>
      <w:r>
        <w:t>uautoriseret adgang</w:t>
      </w:r>
      <w:r w:rsidR="00752A80">
        <w:t xml:space="preserve"> til</w:t>
      </w:r>
      <w:r>
        <w:t xml:space="preserve"> eller videregivelse</w:t>
      </w:r>
      <w:r w:rsidR="00752A80">
        <w:t xml:space="preserve"> af personoplysninger</w:t>
      </w:r>
      <w:r>
        <w:t xml:space="preserve">. </w:t>
      </w:r>
      <w:r w:rsidR="00862AED">
        <w:t xml:space="preserve">Det betyder, </w:t>
      </w:r>
      <w:r>
        <w:t xml:space="preserve">at uvedkommende ikke </w:t>
      </w:r>
      <w:r w:rsidR="00CC6E77">
        <w:t>får</w:t>
      </w:r>
      <w:r w:rsidR="00C524F0">
        <w:t xml:space="preserve"> fat i eller</w:t>
      </w:r>
      <w:r w:rsidR="00CC6E77">
        <w:t xml:space="preserve"> kendskab til</w:t>
      </w:r>
      <w:r w:rsidR="00C524F0">
        <w:t xml:space="preserve"> </w:t>
      </w:r>
      <w:r>
        <w:t>personoplysninger.</w:t>
      </w:r>
    </w:p>
    <w:p w14:paraId="67C10B88" w14:textId="64BFF751" w:rsidR="00061898" w:rsidRDefault="00061898">
      <w:r>
        <w:t xml:space="preserve">Tilgængelighed </w:t>
      </w:r>
      <w:r w:rsidR="006A53BD">
        <w:t>vil sige</w:t>
      </w:r>
      <w:r>
        <w:t xml:space="preserve">, at personoplysningerne skal sikres mod en uautoriseret begrænsning af adgangen til oplysninger for </w:t>
      </w:r>
      <w:r w:rsidR="007352BC">
        <w:t xml:space="preserve">de </w:t>
      </w:r>
      <w:r>
        <w:t xml:space="preserve">personer som </w:t>
      </w:r>
      <w:r w:rsidRPr="007D2961">
        <w:rPr>
          <w:u w:val="single"/>
        </w:rPr>
        <w:t>har</w:t>
      </w:r>
      <w:r>
        <w:t xml:space="preserve"> en retmæssig adgang</w:t>
      </w:r>
      <w:r w:rsidR="007905DE">
        <w:t xml:space="preserve"> </w:t>
      </w:r>
      <w:r w:rsidR="007352BC">
        <w:t>her</w:t>
      </w:r>
      <w:r w:rsidR="007905DE">
        <w:t>til.</w:t>
      </w:r>
    </w:p>
    <w:p w14:paraId="188992CF" w14:textId="631BA845" w:rsidR="00061898" w:rsidRDefault="007905DE">
      <w:r>
        <w:t xml:space="preserve">Integritet </w:t>
      </w:r>
      <w:r w:rsidR="00EE40C0">
        <w:t>indebærer</w:t>
      </w:r>
      <w:r>
        <w:t xml:space="preserve">, at informationer skal sikres mod uautoriseret ændring eller ødelæggelse.  </w:t>
      </w:r>
    </w:p>
    <w:p w14:paraId="70D1C0E0" w14:textId="77777777" w:rsidR="00560380" w:rsidRPr="00560380" w:rsidRDefault="00560380" w:rsidP="00560380">
      <w:pPr>
        <w:pStyle w:val="Listeafsnit"/>
        <w:numPr>
          <w:ilvl w:val="0"/>
          <w:numId w:val="1"/>
        </w:numPr>
        <w:rPr>
          <w:b/>
        </w:rPr>
      </w:pPr>
      <w:r w:rsidRPr="00560380">
        <w:rPr>
          <w:b/>
        </w:rPr>
        <w:t xml:space="preserve">en konsekvensvurdering </w:t>
      </w:r>
    </w:p>
    <w:p w14:paraId="39E13BA0" w14:textId="59083F1C" w:rsidR="007905DE" w:rsidRDefault="007905DE">
      <w:r>
        <w:t xml:space="preserve">Når man </w:t>
      </w:r>
      <w:r w:rsidR="00401D3C">
        <w:t>påbegynder</w:t>
      </w:r>
      <w:r w:rsidR="00C524F0">
        <w:t xml:space="preserve"> </w:t>
      </w:r>
      <w:r>
        <w:t>sin risikovurdering</w:t>
      </w:r>
      <w:r w:rsidR="003510CB">
        <w:t>, er det en god idé at tage udgangspunkt i hvert enkelt informationsaktiv. Her kan man så fastlægge konsekvensen, hvis det antages</w:t>
      </w:r>
      <w:r w:rsidR="00F10184">
        <w:t>,</w:t>
      </w:r>
      <w:r w:rsidR="003510CB">
        <w:t xml:space="preserve"> at informationsaktivet</w:t>
      </w:r>
      <w:r w:rsidR="00560380">
        <w:t xml:space="preserve"> taber fortrolighed, tilgængelighed og integritet. Denne konsekvens kan f.eks. vurderes som høj, medium eller lav.  </w:t>
      </w:r>
    </w:p>
    <w:p w14:paraId="10B9327C" w14:textId="77777777" w:rsidR="00221CAA" w:rsidRDefault="00560380" w:rsidP="00560380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 xml:space="preserve">en </w:t>
      </w:r>
      <w:r w:rsidR="007D2961">
        <w:rPr>
          <w:b/>
        </w:rPr>
        <w:t>sandsynligheds</w:t>
      </w:r>
      <w:r>
        <w:rPr>
          <w:b/>
        </w:rPr>
        <w:t xml:space="preserve">vurdering </w:t>
      </w:r>
    </w:p>
    <w:p w14:paraId="2BD26BDB" w14:textId="0F85E0EB" w:rsidR="00560380" w:rsidRDefault="00560380" w:rsidP="00560380">
      <w:r>
        <w:lastRenderedPageBreak/>
        <w:t xml:space="preserve">Herefter kan man med fordel identificere de trusler, som hver af informationsaktiverne eventuelt står overfor. Hertil kan </w:t>
      </w:r>
      <w:r w:rsidR="00E23C4D">
        <w:t>der</w:t>
      </w:r>
      <w:r>
        <w:t xml:space="preserve"> igen laves en høj, medium eller lav vurdering af, hvor stor sandsynligheden er for at truslen bliver </w:t>
      </w:r>
      <w:r w:rsidR="00346E09">
        <w:t>en realitet</w:t>
      </w:r>
      <w:r>
        <w:t>.</w:t>
      </w:r>
      <w:r w:rsidR="00346E09">
        <w:t xml:space="preserve"> Dette kaldes også for ”trusselsvurdering”.</w:t>
      </w:r>
      <w:r>
        <w:t xml:space="preserve"> </w:t>
      </w:r>
    </w:p>
    <w:p w14:paraId="42807BDD" w14:textId="77777777" w:rsidR="003632F2" w:rsidRDefault="00585BCA" w:rsidP="003632F2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en s</w:t>
      </w:r>
      <w:r w:rsidR="003632F2">
        <w:rPr>
          <w:b/>
        </w:rPr>
        <w:t xml:space="preserve">årbarhedsvurdering </w:t>
      </w:r>
    </w:p>
    <w:p w14:paraId="561C95D1" w14:textId="69208757" w:rsidR="004E47B3" w:rsidRDefault="004E47B3" w:rsidP="003632F2">
      <w:r>
        <w:t xml:space="preserve">Der er formentlig allerede </w:t>
      </w:r>
      <w:r w:rsidR="00F32D7D">
        <w:t xml:space="preserve">opsat </w:t>
      </w:r>
      <w:r>
        <w:t>eksisterende sikkerhedsforanstaltninger i virksomheden eller organisationen. Disse sikkerhedsforanstaltninger mildner trusle</w:t>
      </w:r>
      <w:r w:rsidR="00D00EE1">
        <w:t>rne, som</w:t>
      </w:r>
      <w:r w:rsidR="00F32D7D">
        <w:t xml:space="preserve"> </w:t>
      </w:r>
      <w:r w:rsidR="00AA115A">
        <w:t>er blevet</w:t>
      </w:r>
      <w:r w:rsidR="00D00EE1">
        <w:t xml:space="preserve"> fastlagt. </w:t>
      </w:r>
    </w:p>
    <w:p w14:paraId="21AC462C" w14:textId="11FC17AF" w:rsidR="00A31425" w:rsidRPr="00D00EE1" w:rsidRDefault="00D00EE1" w:rsidP="003632F2">
      <w:r>
        <w:t xml:space="preserve">Det næste trin er at fastlægge og identificere disse eksisterende sikkerhedsforanstaltninger, samt </w:t>
      </w:r>
      <w:r w:rsidR="008A12F5">
        <w:t xml:space="preserve">at fastlægge </w:t>
      </w:r>
      <w:r>
        <w:t xml:space="preserve">deres virkning på nedsættelsen af sandsynligheden og konsekvenserne, som </w:t>
      </w:r>
      <w:r w:rsidR="000616B5">
        <w:t xml:space="preserve">er </w:t>
      </w:r>
      <w:r>
        <w:t xml:space="preserve">fastlagt jf. ovenfor. </w:t>
      </w:r>
    </w:p>
    <w:p w14:paraId="690CD841" w14:textId="77777777" w:rsidR="00A31425" w:rsidRDefault="00A31425" w:rsidP="00A31425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 xml:space="preserve">Risikobilledet </w:t>
      </w:r>
    </w:p>
    <w:p w14:paraId="65D8699C" w14:textId="170081B4" w:rsidR="00B46EAF" w:rsidRDefault="008A3BC2" w:rsidP="00A31425">
      <w:r>
        <w:t xml:space="preserve">Når de forrige trin er bearbejdet, kan </w:t>
      </w:r>
      <w:r w:rsidR="00477412">
        <w:t xml:space="preserve">risikobilledet </w:t>
      </w:r>
      <w:r w:rsidR="00A31425">
        <w:t>nu beskrive</w:t>
      </w:r>
      <w:r w:rsidR="00477412">
        <w:t>s</w:t>
      </w:r>
      <w:r w:rsidR="00A31425">
        <w:t>.</w:t>
      </w:r>
      <w:r w:rsidR="00B46EAF">
        <w:t xml:space="preserve"> </w:t>
      </w:r>
      <w:r w:rsidR="00A31425">
        <w:t>Dette gøres ved at</w:t>
      </w:r>
      <w:r w:rsidR="00B46EAF">
        <w:t xml:space="preserve"> angive en værdi mellem 1-5 for </w:t>
      </w:r>
      <w:r w:rsidR="00B62F06">
        <w:rPr>
          <w:b/>
          <w:bCs/>
        </w:rPr>
        <w:t>konsekvensen</w:t>
      </w:r>
      <w:r w:rsidR="00864551" w:rsidRPr="00864551">
        <w:t>,</w:t>
      </w:r>
      <w:r w:rsidR="00B62F06">
        <w:t xml:space="preserve"> og</w:t>
      </w:r>
      <w:r w:rsidR="00864551">
        <w:t xml:space="preserve"> det samme for</w:t>
      </w:r>
      <w:r w:rsidR="00B62F06">
        <w:t xml:space="preserve"> </w:t>
      </w:r>
      <w:r w:rsidR="00B62F06">
        <w:rPr>
          <w:b/>
          <w:bCs/>
        </w:rPr>
        <w:t>sandsynligheden</w:t>
      </w:r>
      <w:r w:rsidR="00864551">
        <w:t>.</w:t>
      </w:r>
      <w:r w:rsidR="00B46EAF">
        <w:t xml:space="preserve"> </w:t>
      </w:r>
      <w:r w:rsidR="00B62F06">
        <w:t>1 er lav</w:t>
      </w:r>
      <w:r w:rsidR="00A9647D">
        <w:t xml:space="preserve"> konsekvens/sandsynlighed</w:t>
      </w:r>
      <w:r w:rsidR="00B62F06">
        <w:t xml:space="preserve"> og</w:t>
      </w:r>
      <w:r w:rsidR="00B46EAF">
        <w:t xml:space="preserve"> 5 er høj</w:t>
      </w:r>
      <w:r w:rsidR="00A9647D">
        <w:t xml:space="preserve"> konsekvens/sandsynlighed</w:t>
      </w:r>
      <w:r w:rsidR="00B46EAF">
        <w:t xml:space="preserve"> (jf. </w:t>
      </w:r>
      <w:r w:rsidR="00A9647D">
        <w:t xml:space="preserve">nedenstående </w:t>
      </w:r>
      <w:r w:rsidR="00B46EAF">
        <w:t>risikomatrix)</w:t>
      </w:r>
      <w:r w:rsidR="00B62F06">
        <w:t>. Herefter ganges de to tal</w:t>
      </w:r>
      <w:r w:rsidR="0022551F">
        <w:t>:</w:t>
      </w:r>
    </w:p>
    <w:p w14:paraId="2044D01A" w14:textId="77777777" w:rsidR="006C10DE" w:rsidRPr="006C10DE" w:rsidRDefault="006C10DE" w:rsidP="006C10DE"/>
    <w:p w14:paraId="399DBCF1" w14:textId="5651EED9" w:rsidR="0022551F" w:rsidRPr="0022551F" w:rsidRDefault="0022551F" w:rsidP="0022551F">
      <w:pPr>
        <w:jc w:val="center"/>
        <w:rPr>
          <w:i/>
          <w:iCs/>
        </w:rPr>
      </w:pPr>
      <w:r>
        <w:rPr>
          <w:i/>
          <w:iCs/>
        </w:rPr>
        <w:t>Konsekvens x sandsynlighed = risiko</w:t>
      </w:r>
    </w:p>
    <w:p w14:paraId="70B5C219" w14:textId="77777777" w:rsidR="005D32F4" w:rsidRDefault="005D32F4">
      <w:pPr>
        <w:rPr>
          <w:rFonts w:eastAsiaTheme="minorEastAsia" w:cstheme="minorHAnsi"/>
        </w:rPr>
      </w:pPr>
    </w:p>
    <w:p w14:paraId="28667511" w14:textId="005EB51D" w:rsidR="001A5F0B" w:rsidRDefault="001A5F0B">
      <w:pPr>
        <w:rPr>
          <w:rFonts w:eastAsiaTheme="minorEastAsia" w:cstheme="minorHAnsi"/>
        </w:rPr>
      </w:pPr>
      <w:r>
        <w:rPr>
          <w:rFonts w:eastAsiaTheme="minorEastAsia" w:cstheme="minorHAnsi"/>
        </w:rPr>
        <w:t>Du har nu en risiko på mellem 1</w:t>
      </w:r>
      <w:r w:rsidR="001A3D18">
        <w:rPr>
          <w:rFonts w:eastAsiaTheme="minorEastAsia" w:cstheme="minorHAnsi"/>
        </w:rPr>
        <w:t xml:space="preserve"> og </w:t>
      </w:r>
      <w:r>
        <w:rPr>
          <w:rFonts w:eastAsiaTheme="minorEastAsia" w:cstheme="minorHAnsi"/>
        </w:rPr>
        <w:t>25</w:t>
      </w:r>
      <w:r w:rsidR="00AF32EB">
        <w:rPr>
          <w:rFonts w:eastAsiaTheme="minorEastAsia" w:cstheme="minorHAnsi"/>
        </w:rPr>
        <w:t>. Nedenstående risikomatrix</w:t>
      </w:r>
      <w:r w:rsidR="005D32F4">
        <w:rPr>
          <w:rFonts w:eastAsiaTheme="minorEastAsia" w:cstheme="minorHAnsi"/>
        </w:rPr>
        <w:t xml:space="preserve"> definerer om din samlede risiko for d</w:t>
      </w:r>
      <w:r w:rsidR="001A3D18">
        <w:rPr>
          <w:rFonts w:eastAsiaTheme="minorEastAsia" w:cstheme="minorHAnsi"/>
        </w:rPr>
        <w:t>en enkelte trussel</w:t>
      </w:r>
      <w:r w:rsidR="005D32F4">
        <w:rPr>
          <w:rFonts w:eastAsiaTheme="minorEastAsia" w:cstheme="minorHAnsi"/>
        </w:rPr>
        <w:t xml:space="preserve"> er lav, mellem eller høj.</w:t>
      </w:r>
    </w:p>
    <w:p w14:paraId="5E017421" w14:textId="77777777" w:rsidR="001A5F0B" w:rsidRDefault="001A5F0B">
      <w:pPr>
        <w:rPr>
          <w:rFonts w:eastAsiaTheme="minorEastAsia" w:cstheme="minorHAnsi"/>
        </w:rPr>
      </w:pPr>
    </w:p>
    <w:p w14:paraId="6AF509DA" w14:textId="7895DDAF" w:rsidR="000853F4" w:rsidRDefault="000853F4">
      <w:pPr>
        <w:rPr>
          <w:rFonts w:eastAsiaTheme="minorEastAsia" w:cstheme="minorHAnsi"/>
        </w:rPr>
      </w:pPr>
      <w:r>
        <w:rPr>
          <w:rFonts w:eastAsiaTheme="minorEastAsia" w:cstheme="minorHAnsi"/>
        </w:rPr>
        <w:t>Risikomatrix:</w:t>
      </w:r>
    </w:p>
    <w:p w14:paraId="7C5DC9BE" w14:textId="1F0F69F1" w:rsidR="001A3F89" w:rsidRDefault="001A3F89">
      <w:pPr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2D600803" wp14:editId="58201D2D">
            <wp:extent cx="6014757" cy="1076325"/>
            <wp:effectExtent l="0" t="0" r="508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4" t="28772" r="69496" b="52416"/>
                    <a:stretch/>
                  </pic:blipFill>
                  <pic:spPr bwMode="auto">
                    <a:xfrm>
                      <a:off x="0" y="0"/>
                      <a:ext cx="6025461" cy="107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C10DA" w14:textId="77777777" w:rsidR="001A3F89" w:rsidRPr="002802B5" w:rsidRDefault="001A3F89">
      <w:pPr>
        <w:rPr>
          <w:rFonts w:eastAsiaTheme="minorEastAsia" w:cstheme="minorHAnsi"/>
        </w:rPr>
      </w:pPr>
    </w:p>
    <w:p w14:paraId="74F185ED" w14:textId="2742F095" w:rsidR="00DC1D44" w:rsidRDefault="00D00EE1" w:rsidP="00DE3095">
      <w:r>
        <w:t xml:space="preserve">Herefter må man tage stilling til, om risikoen er af en acceptabel størrelse, eller om der er behov for at iværksætte ekstra foranstaltninger. </w:t>
      </w:r>
      <w:r w:rsidR="00591907">
        <w:t xml:space="preserve">Dette </w:t>
      </w:r>
      <w:r w:rsidR="009D1B2A">
        <w:t>kan være</w:t>
      </w:r>
      <w:r w:rsidR="00591907">
        <w:t xml:space="preserve"> tilfældet, hvis </w:t>
      </w:r>
      <w:r w:rsidR="008C59EC">
        <w:t xml:space="preserve">både </w:t>
      </w:r>
      <w:r w:rsidR="00920B55">
        <w:t>konsekvens</w:t>
      </w:r>
      <w:r w:rsidR="008C59EC">
        <w:t xml:space="preserve"> og sandsynlighed </w:t>
      </w:r>
      <w:r w:rsidR="00920B55">
        <w:t>vurderes som</w:t>
      </w:r>
      <w:r w:rsidR="0005337D">
        <w:t xml:space="preserve"> høje</w:t>
      </w:r>
      <w:r w:rsidR="00920B55">
        <w:t xml:space="preserve"> og derfor placeres i det røde felt i figuren. </w:t>
      </w:r>
      <w:r w:rsidR="008D5FA9">
        <w:t>I en situation</w:t>
      </w:r>
      <w:r w:rsidR="00DE3095">
        <w:t xml:space="preserve">, hvor </w:t>
      </w:r>
      <w:r w:rsidR="008D5FA9">
        <w:t>r</w:t>
      </w:r>
      <w:r w:rsidR="0005337D">
        <w:t>isikoen vurderes som værende høj</w:t>
      </w:r>
      <w:r w:rsidR="008D5FA9">
        <w:t xml:space="preserve">, </w:t>
      </w:r>
      <w:r w:rsidR="00F75CAF">
        <w:t xml:space="preserve">kan det være fordelagtigt at </w:t>
      </w:r>
      <w:r w:rsidR="00FB4BA2">
        <w:t xml:space="preserve">planlægge </w:t>
      </w:r>
      <w:r w:rsidR="007027D7">
        <w:t>yderligere foranstaltninger for at nedbringe denne risiko.</w:t>
      </w:r>
      <w:r w:rsidR="00DE3095">
        <w:t xml:space="preserve"> </w:t>
      </w:r>
      <w:r w:rsidR="00A03756">
        <w:t xml:space="preserve">De </w:t>
      </w:r>
      <w:r w:rsidR="00830126">
        <w:t>n</w:t>
      </w:r>
      <w:r w:rsidR="00A03756">
        <w:t>ye foranstaltninger beskrives i ris</w:t>
      </w:r>
      <w:r w:rsidR="000C5283">
        <w:t>i</w:t>
      </w:r>
      <w:r w:rsidR="00A03756">
        <w:t>kovurderingen, og d</w:t>
      </w:r>
      <w:r w:rsidR="00DC1D44">
        <w:t>er beregnes</w:t>
      </w:r>
      <w:r w:rsidR="00A03756">
        <w:t xml:space="preserve"> herefter</w:t>
      </w:r>
      <w:r w:rsidR="00DC1D44">
        <w:t xml:space="preserve"> en</w:t>
      </w:r>
      <w:r w:rsidR="000A5F22">
        <w:t xml:space="preserve"> ny risiko</w:t>
      </w:r>
      <w:r w:rsidR="00A03756">
        <w:t xml:space="preserve">. </w:t>
      </w:r>
      <w:r w:rsidR="00830126">
        <w:t>Den nye r</w:t>
      </w:r>
      <w:r w:rsidR="00A03756">
        <w:t>isiko beregnes på samme vis som</w:t>
      </w:r>
      <w:r w:rsidR="000C5283">
        <w:t xml:space="preserve"> ovenstående.</w:t>
      </w:r>
    </w:p>
    <w:p w14:paraId="50AE91D6" w14:textId="77777777" w:rsidR="00D00EE1" w:rsidRPr="00D00EE1" w:rsidRDefault="000E02CE" w:rsidP="00D00EE1">
      <w:r>
        <w:t>Det må erindres, at ovenstående metode/fremgangsmåde</w:t>
      </w:r>
      <w:r w:rsidR="00585BCA">
        <w:t xml:space="preserve"> blot er et </w:t>
      </w:r>
      <w:r w:rsidR="00585BCA" w:rsidRPr="002802B5">
        <w:rPr>
          <w:i/>
          <w:iCs/>
        </w:rPr>
        <w:t>forslag</w:t>
      </w:r>
      <w:r w:rsidR="00585BCA">
        <w:t xml:space="preserve">, og at risikovurderingen kan foretages og udformes på en anden måde. </w:t>
      </w:r>
      <w:r>
        <w:t xml:space="preserve"> </w:t>
      </w:r>
    </w:p>
    <w:sectPr w:rsidR="00D00EE1" w:rsidRPr="00D00EE1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984F5" w14:textId="77777777" w:rsidR="006B5832" w:rsidRDefault="006B5832" w:rsidP="00555D5C">
      <w:pPr>
        <w:spacing w:after="0" w:line="240" w:lineRule="auto"/>
      </w:pPr>
      <w:r>
        <w:separator/>
      </w:r>
    </w:p>
  </w:endnote>
  <w:endnote w:type="continuationSeparator" w:id="0">
    <w:p w14:paraId="25794D95" w14:textId="77777777" w:rsidR="006B5832" w:rsidRDefault="006B5832" w:rsidP="0055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ADD82" w14:textId="77777777" w:rsidR="006B5832" w:rsidRDefault="006B5832" w:rsidP="00555D5C">
      <w:pPr>
        <w:spacing w:after="0" w:line="240" w:lineRule="auto"/>
      </w:pPr>
      <w:r>
        <w:separator/>
      </w:r>
    </w:p>
  </w:footnote>
  <w:footnote w:type="continuationSeparator" w:id="0">
    <w:p w14:paraId="7567FCDC" w14:textId="77777777" w:rsidR="006B5832" w:rsidRDefault="006B5832" w:rsidP="00555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65766" w14:textId="77777777" w:rsidR="00555D5C" w:rsidRPr="00A11DF8" w:rsidRDefault="00555D5C" w:rsidP="00555D5C">
    <w:pPr>
      <w:pStyle w:val="Sidehoved"/>
      <w:pBdr>
        <w:bottom w:val="single" w:sz="12" w:space="1" w:color="auto"/>
      </w:pBdr>
      <w:jc w:val="right"/>
      <w:rPr>
        <w:sz w:val="12"/>
        <w:szCs w:val="12"/>
      </w:rPr>
    </w:pPr>
  </w:p>
  <w:p w14:paraId="01A9ADE9" w14:textId="77777777" w:rsidR="00555D5C" w:rsidRDefault="00555D5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00219"/>
    <w:multiLevelType w:val="hybridMultilevel"/>
    <w:tmpl w:val="0E9E04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6B"/>
    <w:rsid w:val="00045CA1"/>
    <w:rsid w:val="0005337D"/>
    <w:rsid w:val="00055E2B"/>
    <w:rsid w:val="000616B5"/>
    <w:rsid w:val="00061898"/>
    <w:rsid w:val="000853F4"/>
    <w:rsid w:val="000A5F22"/>
    <w:rsid w:val="000C5283"/>
    <w:rsid w:val="000E02CE"/>
    <w:rsid w:val="0015162D"/>
    <w:rsid w:val="0018374E"/>
    <w:rsid w:val="0019597A"/>
    <w:rsid w:val="001A3D18"/>
    <w:rsid w:val="001A3F89"/>
    <w:rsid w:val="001A5F0B"/>
    <w:rsid w:val="001B0912"/>
    <w:rsid w:val="001C0EB8"/>
    <w:rsid w:val="00201E39"/>
    <w:rsid w:val="002026C0"/>
    <w:rsid w:val="00221CAA"/>
    <w:rsid w:val="0022551F"/>
    <w:rsid w:val="002802B5"/>
    <w:rsid w:val="002E5063"/>
    <w:rsid w:val="00346E09"/>
    <w:rsid w:val="003510CB"/>
    <w:rsid w:val="00352938"/>
    <w:rsid w:val="003632F2"/>
    <w:rsid w:val="003665AB"/>
    <w:rsid w:val="00370297"/>
    <w:rsid w:val="003B6BAE"/>
    <w:rsid w:val="003D1F93"/>
    <w:rsid w:val="00401D3C"/>
    <w:rsid w:val="00451598"/>
    <w:rsid w:val="00477412"/>
    <w:rsid w:val="004A528B"/>
    <w:rsid w:val="004B371D"/>
    <w:rsid w:val="004D69B3"/>
    <w:rsid w:val="004E47B3"/>
    <w:rsid w:val="00501131"/>
    <w:rsid w:val="005200F2"/>
    <w:rsid w:val="00553CFB"/>
    <w:rsid w:val="00555D5C"/>
    <w:rsid w:val="00560380"/>
    <w:rsid w:val="00585BCA"/>
    <w:rsid w:val="00591907"/>
    <w:rsid w:val="005A2264"/>
    <w:rsid w:val="005D32F4"/>
    <w:rsid w:val="005D4008"/>
    <w:rsid w:val="005E2F3B"/>
    <w:rsid w:val="005F26AE"/>
    <w:rsid w:val="006714EC"/>
    <w:rsid w:val="006943E2"/>
    <w:rsid w:val="006A53BD"/>
    <w:rsid w:val="006B5832"/>
    <w:rsid w:val="006C10DE"/>
    <w:rsid w:val="007027D7"/>
    <w:rsid w:val="007352BC"/>
    <w:rsid w:val="00752A80"/>
    <w:rsid w:val="007533BD"/>
    <w:rsid w:val="007905DE"/>
    <w:rsid w:val="00794E28"/>
    <w:rsid w:val="007A0666"/>
    <w:rsid w:val="007D2961"/>
    <w:rsid w:val="00830126"/>
    <w:rsid w:val="00841C0F"/>
    <w:rsid w:val="00862AED"/>
    <w:rsid w:val="00864551"/>
    <w:rsid w:val="00895099"/>
    <w:rsid w:val="008A12F5"/>
    <w:rsid w:val="008A3BC2"/>
    <w:rsid w:val="008C19F9"/>
    <w:rsid w:val="008C59EC"/>
    <w:rsid w:val="008D5FA9"/>
    <w:rsid w:val="008E7EB2"/>
    <w:rsid w:val="0090381E"/>
    <w:rsid w:val="00920B55"/>
    <w:rsid w:val="009264FA"/>
    <w:rsid w:val="00930773"/>
    <w:rsid w:val="009617EF"/>
    <w:rsid w:val="00974874"/>
    <w:rsid w:val="0098386B"/>
    <w:rsid w:val="009A24C6"/>
    <w:rsid w:val="009D1B2A"/>
    <w:rsid w:val="009E5A7B"/>
    <w:rsid w:val="009F51A7"/>
    <w:rsid w:val="00A03756"/>
    <w:rsid w:val="00A07369"/>
    <w:rsid w:val="00A31425"/>
    <w:rsid w:val="00A757EF"/>
    <w:rsid w:val="00A7711B"/>
    <w:rsid w:val="00A9647D"/>
    <w:rsid w:val="00A97541"/>
    <w:rsid w:val="00AA115A"/>
    <w:rsid w:val="00AA7092"/>
    <w:rsid w:val="00AB1301"/>
    <w:rsid w:val="00AF32EB"/>
    <w:rsid w:val="00B46EAF"/>
    <w:rsid w:val="00B62F06"/>
    <w:rsid w:val="00BD0438"/>
    <w:rsid w:val="00BD22A4"/>
    <w:rsid w:val="00BD609D"/>
    <w:rsid w:val="00C1290F"/>
    <w:rsid w:val="00C1342B"/>
    <w:rsid w:val="00C174E3"/>
    <w:rsid w:val="00C524F0"/>
    <w:rsid w:val="00C92575"/>
    <w:rsid w:val="00CB366A"/>
    <w:rsid w:val="00CC6E77"/>
    <w:rsid w:val="00CD1304"/>
    <w:rsid w:val="00CE4997"/>
    <w:rsid w:val="00D00EE1"/>
    <w:rsid w:val="00D03C7B"/>
    <w:rsid w:val="00D54EF4"/>
    <w:rsid w:val="00DA256C"/>
    <w:rsid w:val="00DB79BB"/>
    <w:rsid w:val="00DC1D44"/>
    <w:rsid w:val="00DE16F9"/>
    <w:rsid w:val="00DE3095"/>
    <w:rsid w:val="00E1499B"/>
    <w:rsid w:val="00E23C4D"/>
    <w:rsid w:val="00E716F5"/>
    <w:rsid w:val="00E82305"/>
    <w:rsid w:val="00EA42DC"/>
    <w:rsid w:val="00EE40C0"/>
    <w:rsid w:val="00F10184"/>
    <w:rsid w:val="00F32D7D"/>
    <w:rsid w:val="00F430F9"/>
    <w:rsid w:val="00F51214"/>
    <w:rsid w:val="00F75CAF"/>
    <w:rsid w:val="00F8089E"/>
    <w:rsid w:val="00F96346"/>
    <w:rsid w:val="00F97D49"/>
    <w:rsid w:val="00FB18E3"/>
    <w:rsid w:val="00FB4BA2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08D855"/>
  <w15:chartTrackingRefBased/>
  <w15:docId w15:val="{C6738F4B-CF08-40F5-BA21-C9BA6CD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60380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9509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95099"/>
    <w:rPr>
      <w:color w:val="605E5C"/>
      <w:shd w:val="clear" w:color="auto" w:fill="E1DFDD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E4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E47B3"/>
    <w:rPr>
      <w:rFonts w:ascii="Segoe UI" w:hAnsi="Segoe UI" w:cs="Segoe UI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1C0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C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dsholdertekst">
    <w:name w:val="Placeholder Text"/>
    <w:basedOn w:val="Standardskrifttypeiafsnit"/>
    <w:uiPriority w:val="99"/>
    <w:semiHidden/>
    <w:rsid w:val="006943E2"/>
    <w:rPr>
      <w:color w:val="808080"/>
    </w:rPr>
  </w:style>
  <w:style w:type="paragraph" w:styleId="Sidehoved">
    <w:name w:val="header"/>
    <w:basedOn w:val="Normal"/>
    <w:link w:val="SidehovedTegn"/>
    <w:unhideWhenUsed/>
    <w:rsid w:val="00555D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rsid w:val="00555D5C"/>
  </w:style>
  <w:style w:type="paragraph" w:styleId="Sidefod">
    <w:name w:val="footer"/>
    <w:basedOn w:val="Normal"/>
    <w:link w:val="SidefodTegn"/>
    <w:uiPriority w:val="99"/>
    <w:unhideWhenUsed/>
    <w:rsid w:val="00555D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5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A7E4B-0E05-4350-B4B2-C8E9395BE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399CD-2F16-49E7-8314-02EE253FC1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F86B0-B62A-4957-A15D-8A2C8613AF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Karen-Emilie Brandstrup Larsen</dc:creator>
  <cp:keywords/>
  <dc:description/>
  <cp:lastModifiedBy>Maria Brandt</cp:lastModifiedBy>
  <cp:revision>101</cp:revision>
  <dcterms:created xsi:type="dcterms:W3CDTF">2019-09-25T14:30:00Z</dcterms:created>
  <dcterms:modified xsi:type="dcterms:W3CDTF">2020-10-20T06:17:00Z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