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38079" w14:textId="672CBD4B" w:rsidR="00246801" w:rsidRDefault="001B5E98" w:rsidP="001B5E98">
      <w:pPr>
        <w:pStyle w:val="Title"/>
        <w:rPr>
          <w:lang w:val="en-AU"/>
        </w:rPr>
      </w:pPr>
      <w:r>
        <w:rPr>
          <w:lang w:val="en-AU"/>
        </w:rPr>
        <w:t>Literature Review</w:t>
      </w:r>
    </w:p>
    <w:p w14:paraId="5E7DA10B" w14:textId="0EF31EE6" w:rsidR="001B5E98" w:rsidRDefault="00281947" w:rsidP="00281947">
      <w:pPr>
        <w:pStyle w:val="Subtitle"/>
        <w:rPr>
          <w:lang w:val="en-AU"/>
        </w:rPr>
      </w:pPr>
      <w:r w:rsidRPr="00281947">
        <w:rPr>
          <w:lang w:val="en-AU"/>
        </w:rPr>
        <w:t xml:space="preserve">Statistical </w:t>
      </w:r>
      <w:r>
        <w:rPr>
          <w:lang w:val="en-AU"/>
        </w:rPr>
        <w:t>T</w:t>
      </w:r>
      <w:r w:rsidRPr="00281947">
        <w:rPr>
          <w:lang w:val="en-AU"/>
        </w:rPr>
        <w:t xml:space="preserve">ime </w:t>
      </w:r>
      <w:r>
        <w:rPr>
          <w:lang w:val="en-AU"/>
        </w:rPr>
        <w:t>S</w:t>
      </w:r>
      <w:r w:rsidRPr="00281947">
        <w:rPr>
          <w:lang w:val="en-AU"/>
        </w:rPr>
        <w:t xml:space="preserve">eries </w:t>
      </w:r>
      <w:r>
        <w:rPr>
          <w:lang w:val="en-AU"/>
        </w:rPr>
        <w:t>M</w:t>
      </w:r>
      <w:r w:rsidRPr="00281947">
        <w:rPr>
          <w:lang w:val="en-AU"/>
        </w:rPr>
        <w:t>odels</w:t>
      </w:r>
    </w:p>
    <w:p w14:paraId="5CD130E4" w14:textId="1A756846" w:rsidR="00281947" w:rsidRPr="00281947" w:rsidRDefault="00281947" w:rsidP="00281947">
      <w:pPr>
        <w:jc w:val="both"/>
        <w:rPr>
          <w:lang w:val="en-AU"/>
        </w:rPr>
      </w:pPr>
      <w:r w:rsidRPr="00281947">
        <w:rPr>
          <w:lang w:val="en-AU"/>
        </w:rPr>
        <w:t>Statistical time series models have been widely used for electricity demand forecasting due to their ability to capture patterns such as trend and seasonality over time. Models like ARIMA and SARIMA are commonly applied in the literature and have been shown to perform well, particularly for short-term forecasting where demand follows regular daily and weekly cycles (Box et al., 2015). For example, Taylor (2003) demonstrated strong performance when forecasting electricity demand at an hourly level, while Hippert et al. (2001) highlighted the effectiveness of these approaches across short-term forecasting tasks. These models are often preferred because they are relatively simple to implement, easy to interpret, and require less computational power compared to more complex methods.</w:t>
      </w:r>
    </w:p>
    <w:p w14:paraId="218492D5" w14:textId="604D8F0A" w:rsidR="00281947" w:rsidRDefault="00281947" w:rsidP="00281947">
      <w:pPr>
        <w:jc w:val="both"/>
        <w:rPr>
          <w:lang w:val="en-AU"/>
        </w:rPr>
      </w:pPr>
      <w:r w:rsidRPr="00281947">
        <w:rPr>
          <w:lang w:val="en-AU"/>
        </w:rPr>
        <w:t>Statistical models have also been used beyond short-term forecasting, with applications covering day-ahead, week-ahead, and longer time horizons. For instance, Hong (2010) explored statistical approaches for day-ahead electricity load forecasting, while Fan and Hyndman (2012) showed that incorporating multiple seasonal patterns can improve forecasting accuracy over longer periods. Overall, these studies suggest that statistical time series models remain a strong and reliable baseline for electricity demand forecasting across different time horizons. This makes them a useful benchmark when comparing more advanced machine learning and deep learning models in this project.</w:t>
      </w:r>
    </w:p>
    <w:p w14:paraId="1A4FF26A" w14:textId="081383CF" w:rsidR="00281947" w:rsidRDefault="00281947">
      <w:pPr>
        <w:rPr>
          <w:lang w:val="en-AU"/>
        </w:rPr>
      </w:pPr>
      <w:r>
        <w:rPr>
          <w:lang w:val="en-AU"/>
        </w:rPr>
        <w:br w:type="page"/>
      </w:r>
    </w:p>
    <w:p w14:paraId="6FB4519F" w14:textId="67C2D25A" w:rsidR="00281947" w:rsidRDefault="00281947" w:rsidP="00281947">
      <w:pPr>
        <w:pStyle w:val="Heading1"/>
        <w:rPr>
          <w:lang w:val="en-AU"/>
        </w:rPr>
      </w:pPr>
      <w:r>
        <w:rPr>
          <w:lang w:val="en-AU"/>
        </w:rPr>
        <w:lastRenderedPageBreak/>
        <w:t>References</w:t>
      </w:r>
    </w:p>
    <w:p w14:paraId="1E198020" w14:textId="77777777" w:rsidR="00516E09" w:rsidRPr="00281947" w:rsidRDefault="00516E09" w:rsidP="00281947">
      <w:pPr>
        <w:pStyle w:val="p1"/>
        <w:rPr>
          <w:rFonts w:asciiTheme="minorHAnsi" w:hAnsiTheme="minorHAnsi"/>
        </w:rPr>
      </w:pPr>
      <w:r w:rsidRPr="00281947">
        <w:rPr>
          <w:rFonts w:asciiTheme="minorHAnsi" w:hAnsiTheme="minorHAnsi"/>
        </w:rPr>
        <w:t xml:space="preserve">Box, G.E.P., Jenkins, G.M., Reinsel, G.C. and Ljung, G.M. (2015), </w:t>
      </w:r>
      <w:r w:rsidRPr="00281947">
        <w:rPr>
          <w:rFonts w:asciiTheme="minorHAnsi" w:hAnsiTheme="minorHAnsi"/>
          <w:i/>
          <w:iCs/>
        </w:rPr>
        <w:t>Time Series Analysis: Forecasting and Control</w:t>
      </w:r>
      <w:r w:rsidRPr="00281947">
        <w:rPr>
          <w:rFonts w:asciiTheme="minorHAnsi" w:hAnsiTheme="minorHAnsi"/>
        </w:rPr>
        <w:t xml:space="preserve">, 5th </w:t>
      </w:r>
      <w:proofErr w:type="spellStart"/>
      <w:r w:rsidRPr="00281947">
        <w:rPr>
          <w:rFonts w:asciiTheme="minorHAnsi" w:hAnsiTheme="minorHAnsi"/>
        </w:rPr>
        <w:t>edn</w:t>
      </w:r>
      <w:proofErr w:type="spellEnd"/>
      <w:r w:rsidRPr="00281947">
        <w:rPr>
          <w:rFonts w:asciiTheme="minorHAnsi" w:hAnsiTheme="minorHAnsi"/>
        </w:rPr>
        <w:t>, Wiley, Hoboken.</w:t>
      </w:r>
    </w:p>
    <w:p w14:paraId="5355204B" w14:textId="77777777" w:rsidR="00516E09" w:rsidRPr="00281947" w:rsidRDefault="00516E09" w:rsidP="00281947">
      <w:pPr>
        <w:pStyle w:val="p1"/>
        <w:rPr>
          <w:rFonts w:asciiTheme="minorHAnsi" w:hAnsiTheme="minorHAnsi"/>
        </w:rPr>
      </w:pPr>
      <w:r w:rsidRPr="00281947">
        <w:rPr>
          <w:rFonts w:asciiTheme="minorHAnsi" w:hAnsiTheme="minorHAnsi"/>
        </w:rPr>
        <w:t xml:space="preserve">Fan, S. and Hyndman, R.J. (2012), ‘Short-term load forecasting based on a semi-parametric additive model’, </w:t>
      </w:r>
      <w:r w:rsidRPr="00281947">
        <w:rPr>
          <w:rFonts w:asciiTheme="minorHAnsi" w:hAnsiTheme="minorHAnsi"/>
          <w:i/>
          <w:iCs/>
        </w:rPr>
        <w:t>IEEE Transactions on Power Systems</w:t>
      </w:r>
      <w:r w:rsidRPr="00281947">
        <w:rPr>
          <w:rFonts w:asciiTheme="minorHAnsi" w:hAnsiTheme="minorHAnsi"/>
        </w:rPr>
        <w:t>, vol. 27, no. 1, pp. 134–141.</w:t>
      </w:r>
    </w:p>
    <w:p w14:paraId="03C4C0D4" w14:textId="77777777" w:rsidR="00516E09" w:rsidRPr="00281947" w:rsidRDefault="00516E09" w:rsidP="00281947">
      <w:pPr>
        <w:pStyle w:val="p1"/>
        <w:rPr>
          <w:rFonts w:asciiTheme="minorHAnsi" w:hAnsiTheme="minorHAnsi"/>
        </w:rPr>
      </w:pPr>
      <w:r w:rsidRPr="00281947">
        <w:rPr>
          <w:rFonts w:asciiTheme="minorHAnsi" w:hAnsiTheme="minorHAnsi"/>
        </w:rPr>
        <w:t xml:space="preserve">Hippert, H.S., Pedreira, C.E. and Souza, R.C. (2001), ‘Neural networks for short-term load forecasting: A review and evaluation’, </w:t>
      </w:r>
      <w:r w:rsidRPr="00281947">
        <w:rPr>
          <w:rFonts w:asciiTheme="minorHAnsi" w:hAnsiTheme="minorHAnsi"/>
          <w:i/>
          <w:iCs/>
        </w:rPr>
        <w:t>IEEE Transactions on Power Systems</w:t>
      </w:r>
      <w:r w:rsidRPr="00281947">
        <w:rPr>
          <w:rFonts w:asciiTheme="minorHAnsi" w:hAnsiTheme="minorHAnsi"/>
        </w:rPr>
        <w:t>, vol. 16, no. 1, pp. 44–55.</w:t>
      </w:r>
    </w:p>
    <w:p w14:paraId="2E2647DA" w14:textId="77777777" w:rsidR="00516E09" w:rsidRPr="00281947" w:rsidRDefault="00516E09" w:rsidP="00281947">
      <w:pPr>
        <w:pStyle w:val="p1"/>
        <w:rPr>
          <w:rFonts w:asciiTheme="minorHAnsi" w:hAnsiTheme="minorHAnsi"/>
        </w:rPr>
      </w:pPr>
      <w:r w:rsidRPr="00281947">
        <w:rPr>
          <w:rFonts w:asciiTheme="minorHAnsi" w:hAnsiTheme="minorHAnsi"/>
        </w:rPr>
        <w:t xml:space="preserve">Hong, T. (2010), ‘Short term electric load forecasting’, </w:t>
      </w:r>
      <w:r w:rsidRPr="00281947">
        <w:rPr>
          <w:rFonts w:asciiTheme="minorHAnsi" w:hAnsiTheme="minorHAnsi"/>
          <w:i/>
          <w:iCs/>
        </w:rPr>
        <w:t>North American Power Symposium (NAPS)</w:t>
      </w:r>
      <w:r w:rsidRPr="00281947">
        <w:rPr>
          <w:rFonts w:asciiTheme="minorHAnsi" w:hAnsiTheme="minorHAnsi"/>
        </w:rPr>
        <w:t>, pp. 1–6.</w:t>
      </w:r>
    </w:p>
    <w:p w14:paraId="0D9F50F0" w14:textId="77777777" w:rsidR="00516E09" w:rsidRPr="00281947" w:rsidRDefault="00516E09" w:rsidP="00281947">
      <w:pPr>
        <w:pStyle w:val="p1"/>
        <w:rPr>
          <w:rFonts w:asciiTheme="minorHAnsi" w:hAnsiTheme="minorHAnsi"/>
        </w:rPr>
      </w:pPr>
      <w:r w:rsidRPr="00281947">
        <w:rPr>
          <w:rFonts w:asciiTheme="minorHAnsi" w:hAnsiTheme="minorHAnsi"/>
        </w:rPr>
        <w:t xml:space="preserve">Taylor, J.W. (2003), ‘Short-term electricity demand forecasting using double seasonal exponential smoothing’, </w:t>
      </w:r>
      <w:r w:rsidRPr="00281947">
        <w:rPr>
          <w:rFonts w:asciiTheme="minorHAnsi" w:hAnsiTheme="minorHAnsi"/>
          <w:i/>
          <w:iCs/>
        </w:rPr>
        <w:t>Journal of the Operational Research Society</w:t>
      </w:r>
      <w:r w:rsidRPr="00281947">
        <w:rPr>
          <w:rFonts w:asciiTheme="minorHAnsi" w:hAnsiTheme="minorHAnsi"/>
        </w:rPr>
        <w:t>, vol. 54, no. 8, pp. 799–805.</w:t>
      </w:r>
    </w:p>
    <w:p w14:paraId="5AF29159" w14:textId="77777777" w:rsidR="00281947" w:rsidRPr="00281947" w:rsidRDefault="00281947" w:rsidP="00281947">
      <w:pPr>
        <w:rPr>
          <w:lang w:val="en-AU"/>
        </w:rPr>
      </w:pPr>
    </w:p>
    <w:sectPr w:rsidR="00281947" w:rsidRPr="002819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E98"/>
    <w:rsid w:val="000C264F"/>
    <w:rsid w:val="001B5E98"/>
    <w:rsid w:val="00246801"/>
    <w:rsid w:val="00281947"/>
    <w:rsid w:val="00516E09"/>
    <w:rsid w:val="00593871"/>
    <w:rsid w:val="0068706D"/>
    <w:rsid w:val="00702A9D"/>
    <w:rsid w:val="0071742C"/>
    <w:rsid w:val="009D455A"/>
    <w:rsid w:val="00B35CAF"/>
    <w:rsid w:val="00D51394"/>
    <w:rsid w:val="00FB50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58D6499"/>
  <w15:chartTrackingRefBased/>
  <w15:docId w15:val="{04F01026-02A8-7243-8D66-5DC884C39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E98"/>
    <w:rPr>
      <w:rFonts w:eastAsiaTheme="majorEastAsia" w:cstheme="majorBidi"/>
      <w:color w:val="272727" w:themeColor="text1" w:themeTint="D8"/>
    </w:rPr>
  </w:style>
  <w:style w:type="paragraph" w:styleId="Title">
    <w:name w:val="Title"/>
    <w:basedOn w:val="Normal"/>
    <w:next w:val="Normal"/>
    <w:link w:val="TitleChar"/>
    <w:uiPriority w:val="10"/>
    <w:qFormat/>
    <w:rsid w:val="001B5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E98"/>
    <w:pPr>
      <w:spacing w:before="160"/>
      <w:jc w:val="center"/>
    </w:pPr>
    <w:rPr>
      <w:i/>
      <w:iCs/>
      <w:color w:val="404040" w:themeColor="text1" w:themeTint="BF"/>
    </w:rPr>
  </w:style>
  <w:style w:type="character" w:customStyle="1" w:styleId="QuoteChar">
    <w:name w:val="Quote Char"/>
    <w:basedOn w:val="DefaultParagraphFont"/>
    <w:link w:val="Quote"/>
    <w:uiPriority w:val="29"/>
    <w:rsid w:val="001B5E98"/>
    <w:rPr>
      <w:i/>
      <w:iCs/>
      <w:color w:val="404040" w:themeColor="text1" w:themeTint="BF"/>
    </w:rPr>
  </w:style>
  <w:style w:type="paragraph" w:styleId="ListParagraph">
    <w:name w:val="List Paragraph"/>
    <w:basedOn w:val="Normal"/>
    <w:uiPriority w:val="34"/>
    <w:qFormat/>
    <w:rsid w:val="001B5E98"/>
    <w:pPr>
      <w:ind w:left="720"/>
      <w:contextualSpacing/>
    </w:pPr>
  </w:style>
  <w:style w:type="character" w:styleId="IntenseEmphasis">
    <w:name w:val="Intense Emphasis"/>
    <w:basedOn w:val="DefaultParagraphFont"/>
    <w:uiPriority w:val="21"/>
    <w:qFormat/>
    <w:rsid w:val="001B5E98"/>
    <w:rPr>
      <w:i/>
      <w:iCs/>
      <w:color w:val="0F4761" w:themeColor="accent1" w:themeShade="BF"/>
    </w:rPr>
  </w:style>
  <w:style w:type="paragraph" w:styleId="IntenseQuote">
    <w:name w:val="Intense Quote"/>
    <w:basedOn w:val="Normal"/>
    <w:next w:val="Normal"/>
    <w:link w:val="IntenseQuoteChar"/>
    <w:uiPriority w:val="30"/>
    <w:qFormat/>
    <w:rsid w:val="001B5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E98"/>
    <w:rPr>
      <w:i/>
      <w:iCs/>
      <w:color w:val="0F4761" w:themeColor="accent1" w:themeShade="BF"/>
    </w:rPr>
  </w:style>
  <w:style w:type="character" w:styleId="IntenseReference">
    <w:name w:val="Intense Reference"/>
    <w:basedOn w:val="DefaultParagraphFont"/>
    <w:uiPriority w:val="32"/>
    <w:qFormat/>
    <w:rsid w:val="001B5E98"/>
    <w:rPr>
      <w:b/>
      <w:bCs/>
      <w:smallCaps/>
      <w:color w:val="0F4761" w:themeColor="accent1" w:themeShade="BF"/>
      <w:spacing w:val="5"/>
    </w:rPr>
  </w:style>
  <w:style w:type="paragraph" w:customStyle="1" w:styleId="p1">
    <w:name w:val="p1"/>
    <w:basedOn w:val="Normal"/>
    <w:rsid w:val="00281947"/>
    <w:pPr>
      <w:spacing w:before="100" w:beforeAutospacing="1" w:after="100" w:afterAutospacing="1" w:line="240" w:lineRule="auto"/>
    </w:pPr>
    <w:rPr>
      <w:rFonts w:ascii="Times New Roman" w:eastAsia="Times New Roman" w:hAnsi="Times New Roman" w:cs="Times New Roman"/>
      <w:kern w:val="0"/>
      <w:lang w:val="en-AU" w:eastAsia="en-GB"/>
      <w14:ligatures w14:val="none"/>
    </w:rPr>
  </w:style>
  <w:style w:type="paragraph" w:customStyle="1" w:styleId="p2">
    <w:name w:val="p2"/>
    <w:basedOn w:val="Normal"/>
    <w:rsid w:val="00281947"/>
    <w:pPr>
      <w:spacing w:before="100" w:beforeAutospacing="1" w:after="100" w:afterAutospacing="1" w:line="240" w:lineRule="auto"/>
    </w:pPr>
    <w:rPr>
      <w:rFonts w:ascii="Times New Roman" w:eastAsia="Times New Roman" w:hAnsi="Times New Roman" w:cs="Times New Roman"/>
      <w:kern w:val="0"/>
      <w:lang w:val="en-AU"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330</Words>
  <Characters>1994</Characters>
  <Application>Microsoft Office Word</Application>
  <DocSecurity>0</DocSecurity>
  <Lines>34</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Heath-Ogden</dc:creator>
  <cp:keywords/>
  <dc:description/>
  <cp:lastModifiedBy>Daniel Heath-Ogden</cp:lastModifiedBy>
  <cp:revision>5</cp:revision>
  <dcterms:created xsi:type="dcterms:W3CDTF">2026-03-17T08:55:00Z</dcterms:created>
  <dcterms:modified xsi:type="dcterms:W3CDTF">2026-03-20T03:19:00Z</dcterms:modified>
</cp:coreProperties>
</file>