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B6152" w14:textId="77777777" w:rsidR="00D027FA"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63B137A4" w14:textId="77777777" w:rsidR="00D027FA" w:rsidRDefault="00000000">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January 20XX</w:t>
      </w:r>
    </w:p>
    <w:p w14:paraId="20B078E7" w14:textId="77777777" w:rsidR="00D027FA"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0F328DDF">
          <v:rect id="_x0000_i1025" style="width:0;height:1.5pt" o:hralign="center" o:hrstd="t" o:hr="t" fillcolor="#a0a0a0" stroked="f"/>
        </w:pict>
      </w:r>
    </w:p>
    <w:p w14:paraId="2D1B0618" w14:textId="77777777" w:rsidR="00D027F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00C587D6" w14:textId="77777777" w:rsidR="00D027FA"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34F8CA4D" w14:textId="77777777" w:rsidR="00D027F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4775B03C" w14:textId="77777777" w:rsidR="00D027FA"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08F6BEFC" w14:textId="77777777" w:rsidR="00D027F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0ACB6C80" w14:textId="126FCF95" w:rsidR="00D027FA" w:rsidRDefault="000560D5">
      <w:pPr>
        <w:numPr>
          <w:ilvl w:val="0"/>
          <w:numId w:val="3"/>
        </w:numPr>
        <w:rPr>
          <w:rFonts w:ascii="Google Sans" w:eastAsia="Google Sans" w:hAnsi="Google Sans" w:cs="Google Sans"/>
          <w:i/>
          <w:color w:val="353744"/>
        </w:rPr>
      </w:pPr>
      <w:r>
        <w:rPr>
          <w:rFonts w:ascii="Google Sans" w:eastAsia="Google Sans" w:hAnsi="Google Sans" w:cs="Google Sans"/>
          <w:color w:val="353744"/>
        </w:rPr>
        <w:t xml:space="preserve">The database server is a vital component of the ecommerce company’s infrastructure and securing it is essential to protect sensitive data, ensure regulatory compliance and maintain customer trust. </w:t>
      </w:r>
      <w:r w:rsidR="0068040B">
        <w:rPr>
          <w:rFonts w:ascii="Google Sans" w:eastAsia="Google Sans" w:hAnsi="Google Sans" w:cs="Google Sans"/>
          <w:color w:val="353744"/>
        </w:rPr>
        <w:t>Therefore,</w:t>
      </w:r>
      <w:r>
        <w:rPr>
          <w:rFonts w:ascii="Google Sans" w:eastAsia="Google Sans" w:hAnsi="Google Sans" w:cs="Google Sans"/>
          <w:color w:val="353744"/>
        </w:rPr>
        <w:t xml:space="preserve"> a robust security strategy is necessary to mitigate risk and safeguard the server from potential threats.</w:t>
      </w:r>
    </w:p>
    <w:p w14:paraId="390E294A" w14:textId="77777777" w:rsidR="00D027F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t>Risk Assessment</w:t>
      </w:r>
    </w:p>
    <w:p w14:paraId="6F52DDF6" w14:textId="77777777" w:rsidR="00D027FA" w:rsidRDefault="00D027FA">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D027FA" w14:paraId="309AA82D" w14:textId="77777777">
        <w:tc>
          <w:tcPr>
            <w:tcW w:w="1860" w:type="dxa"/>
            <w:shd w:val="clear" w:color="auto" w:fill="C9DAF8"/>
            <w:tcMar>
              <w:top w:w="100" w:type="dxa"/>
              <w:left w:w="100" w:type="dxa"/>
              <w:bottom w:w="100" w:type="dxa"/>
              <w:right w:w="100" w:type="dxa"/>
            </w:tcMar>
          </w:tcPr>
          <w:p w14:paraId="591A1DA7" w14:textId="77777777" w:rsidR="00D027F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59F07019" w14:textId="77777777" w:rsidR="00D027F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78096684" w14:textId="77777777" w:rsidR="00D027F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1BAEC453" w14:textId="77777777" w:rsidR="00D027F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1AAE6D0F" w14:textId="77777777" w:rsidR="00D027FA"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D027FA" w14:paraId="51002B5A" w14:textId="77777777">
        <w:tc>
          <w:tcPr>
            <w:tcW w:w="1860" w:type="dxa"/>
            <w:shd w:val="clear" w:color="auto" w:fill="auto"/>
            <w:tcMar>
              <w:top w:w="100" w:type="dxa"/>
              <w:left w:w="100" w:type="dxa"/>
              <w:bottom w:w="100" w:type="dxa"/>
              <w:right w:w="100" w:type="dxa"/>
            </w:tcMar>
          </w:tcPr>
          <w:p w14:paraId="7D6452B9" w14:textId="05E18F27"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Malicious actor</w:t>
            </w:r>
          </w:p>
        </w:tc>
        <w:tc>
          <w:tcPr>
            <w:tcW w:w="3615" w:type="dxa"/>
            <w:shd w:val="clear" w:color="auto" w:fill="auto"/>
            <w:tcMar>
              <w:top w:w="100" w:type="dxa"/>
              <w:left w:w="100" w:type="dxa"/>
              <w:bottom w:w="100" w:type="dxa"/>
              <w:right w:w="100" w:type="dxa"/>
            </w:tcMar>
          </w:tcPr>
          <w:p w14:paraId="0CC69027" w14:textId="3E7E8C08"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Unauthorized access to database</w:t>
            </w:r>
          </w:p>
        </w:tc>
        <w:tc>
          <w:tcPr>
            <w:tcW w:w="1395" w:type="dxa"/>
            <w:shd w:val="clear" w:color="auto" w:fill="auto"/>
            <w:tcMar>
              <w:top w:w="100" w:type="dxa"/>
              <w:left w:w="100" w:type="dxa"/>
              <w:bottom w:w="100" w:type="dxa"/>
              <w:right w:w="100" w:type="dxa"/>
            </w:tcMar>
          </w:tcPr>
          <w:p w14:paraId="3894CEE8" w14:textId="1867DE98"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3FD27099" w14:textId="35D67B9F"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07368104" w14:textId="4AD08356"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D027FA" w14:paraId="4A18DA6D" w14:textId="77777777">
        <w:tc>
          <w:tcPr>
            <w:tcW w:w="1860" w:type="dxa"/>
            <w:shd w:val="clear" w:color="auto" w:fill="auto"/>
            <w:tcMar>
              <w:top w:w="100" w:type="dxa"/>
              <w:left w:w="100" w:type="dxa"/>
              <w:bottom w:w="100" w:type="dxa"/>
              <w:right w:w="100" w:type="dxa"/>
            </w:tcMar>
          </w:tcPr>
          <w:p w14:paraId="0E8BFEAE" w14:textId="3C55B1D6"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Malicious actor </w:t>
            </w:r>
          </w:p>
        </w:tc>
        <w:tc>
          <w:tcPr>
            <w:tcW w:w="3615" w:type="dxa"/>
            <w:shd w:val="clear" w:color="auto" w:fill="auto"/>
            <w:tcMar>
              <w:top w:w="100" w:type="dxa"/>
              <w:left w:w="100" w:type="dxa"/>
              <w:bottom w:w="100" w:type="dxa"/>
              <w:right w:w="100" w:type="dxa"/>
            </w:tcMar>
          </w:tcPr>
          <w:p w14:paraId="2BB60AAA" w14:textId="7EBC039C"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Exposure of sensitive customer information</w:t>
            </w:r>
          </w:p>
        </w:tc>
        <w:tc>
          <w:tcPr>
            <w:tcW w:w="1395" w:type="dxa"/>
            <w:shd w:val="clear" w:color="auto" w:fill="auto"/>
            <w:tcMar>
              <w:top w:w="100" w:type="dxa"/>
              <w:left w:w="100" w:type="dxa"/>
              <w:bottom w:w="100" w:type="dxa"/>
              <w:right w:w="100" w:type="dxa"/>
            </w:tcMar>
          </w:tcPr>
          <w:p w14:paraId="01C3F11B" w14:textId="2F337D37"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55054803" w14:textId="69716466"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46A88591" w14:textId="406E486C" w:rsidR="00D027FA"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0560D5" w14:paraId="18FD94C9" w14:textId="77777777">
        <w:tc>
          <w:tcPr>
            <w:tcW w:w="1860" w:type="dxa"/>
            <w:shd w:val="clear" w:color="auto" w:fill="auto"/>
            <w:tcMar>
              <w:top w:w="100" w:type="dxa"/>
              <w:left w:w="100" w:type="dxa"/>
              <w:bottom w:w="100" w:type="dxa"/>
              <w:right w:w="100" w:type="dxa"/>
            </w:tcMar>
          </w:tcPr>
          <w:p w14:paraId="06C6243B" w14:textId="3DFD5A02"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Cybercriminal </w:t>
            </w:r>
          </w:p>
        </w:tc>
        <w:tc>
          <w:tcPr>
            <w:tcW w:w="3615" w:type="dxa"/>
            <w:shd w:val="clear" w:color="auto" w:fill="auto"/>
            <w:tcMar>
              <w:top w:w="100" w:type="dxa"/>
              <w:left w:w="100" w:type="dxa"/>
              <w:bottom w:w="100" w:type="dxa"/>
              <w:right w:w="100" w:type="dxa"/>
            </w:tcMar>
          </w:tcPr>
          <w:p w14:paraId="7A689457" w14:textId="66377D68"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Retrieval of data through SQL injection</w:t>
            </w:r>
          </w:p>
        </w:tc>
        <w:tc>
          <w:tcPr>
            <w:tcW w:w="1395" w:type="dxa"/>
            <w:shd w:val="clear" w:color="auto" w:fill="auto"/>
            <w:tcMar>
              <w:top w:w="100" w:type="dxa"/>
              <w:left w:w="100" w:type="dxa"/>
              <w:bottom w:w="100" w:type="dxa"/>
              <w:right w:w="100" w:type="dxa"/>
            </w:tcMar>
          </w:tcPr>
          <w:p w14:paraId="190FD48E" w14:textId="79D2F0D2"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0F5A044F" w14:textId="2C6D93AA"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0B64116F" w14:textId="02C69F7A"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0560D5" w14:paraId="2E605F9C" w14:textId="77777777">
        <w:tc>
          <w:tcPr>
            <w:tcW w:w="1860" w:type="dxa"/>
            <w:shd w:val="clear" w:color="auto" w:fill="auto"/>
            <w:tcMar>
              <w:top w:w="100" w:type="dxa"/>
              <w:left w:w="100" w:type="dxa"/>
              <w:bottom w:w="100" w:type="dxa"/>
              <w:right w:w="100" w:type="dxa"/>
            </w:tcMar>
          </w:tcPr>
          <w:p w14:paraId="313BB3AF" w14:textId="167E6480"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Employees</w:t>
            </w:r>
          </w:p>
        </w:tc>
        <w:tc>
          <w:tcPr>
            <w:tcW w:w="3615" w:type="dxa"/>
            <w:shd w:val="clear" w:color="auto" w:fill="auto"/>
            <w:tcMar>
              <w:top w:w="100" w:type="dxa"/>
              <w:left w:w="100" w:type="dxa"/>
              <w:bottom w:w="100" w:type="dxa"/>
              <w:right w:w="100" w:type="dxa"/>
            </w:tcMar>
          </w:tcPr>
          <w:p w14:paraId="5A69062E" w14:textId="2445432B"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Accidental exposure or mishandling of sensitive </w:t>
            </w:r>
            <w:r>
              <w:rPr>
                <w:rFonts w:ascii="Google Sans" w:eastAsia="Google Sans" w:hAnsi="Google Sans" w:cs="Google Sans"/>
                <w:i/>
                <w:color w:val="353744"/>
              </w:rPr>
              <w:lastRenderedPageBreak/>
              <w:t>information</w:t>
            </w:r>
          </w:p>
        </w:tc>
        <w:tc>
          <w:tcPr>
            <w:tcW w:w="1395" w:type="dxa"/>
            <w:shd w:val="clear" w:color="auto" w:fill="auto"/>
            <w:tcMar>
              <w:top w:w="100" w:type="dxa"/>
              <w:left w:w="100" w:type="dxa"/>
              <w:bottom w:w="100" w:type="dxa"/>
              <w:right w:w="100" w:type="dxa"/>
            </w:tcMar>
          </w:tcPr>
          <w:p w14:paraId="0A1F091A" w14:textId="102E9354"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lastRenderedPageBreak/>
              <w:t>2</w:t>
            </w:r>
          </w:p>
        </w:tc>
        <w:tc>
          <w:tcPr>
            <w:tcW w:w="1320" w:type="dxa"/>
            <w:shd w:val="clear" w:color="auto" w:fill="auto"/>
            <w:tcMar>
              <w:top w:w="100" w:type="dxa"/>
              <w:left w:w="100" w:type="dxa"/>
              <w:bottom w:w="100" w:type="dxa"/>
              <w:right w:w="100" w:type="dxa"/>
            </w:tcMar>
          </w:tcPr>
          <w:p w14:paraId="63ACDD9F" w14:textId="65D6B4A9"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79BEF8EC" w14:textId="78DDAB9B"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0560D5" w14:paraId="59A5A7F1" w14:textId="77777777">
        <w:tc>
          <w:tcPr>
            <w:tcW w:w="1860" w:type="dxa"/>
            <w:shd w:val="clear" w:color="auto" w:fill="auto"/>
            <w:tcMar>
              <w:top w:w="100" w:type="dxa"/>
              <w:left w:w="100" w:type="dxa"/>
              <w:bottom w:w="100" w:type="dxa"/>
              <w:right w:w="100" w:type="dxa"/>
            </w:tcMar>
          </w:tcPr>
          <w:p w14:paraId="7EFF964D" w14:textId="2D0511C8"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Hardware malfunction</w:t>
            </w:r>
          </w:p>
        </w:tc>
        <w:tc>
          <w:tcPr>
            <w:tcW w:w="3615" w:type="dxa"/>
            <w:shd w:val="clear" w:color="auto" w:fill="auto"/>
            <w:tcMar>
              <w:top w:w="100" w:type="dxa"/>
              <w:left w:w="100" w:type="dxa"/>
              <w:bottom w:w="100" w:type="dxa"/>
              <w:right w:w="100" w:type="dxa"/>
            </w:tcMar>
          </w:tcPr>
          <w:p w14:paraId="2E360DB9" w14:textId="1CD1E746"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Loss of data and downtime</w:t>
            </w:r>
          </w:p>
        </w:tc>
        <w:tc>
          <w:tcPr>
            <w:tcW w:w="1395" w:type="dxa"/>
            <w:shd w:val="clear" w:color="auto" w:fill="auto"/>
            <w:tcMar>
              <w:top w:w="100" w:type="dxa"/>
              <w:left w:w="100" w:type="dxa"/>
              <w:bottom w:w="100" w:type="dxa"/>
              <w:right w:w="100" w:type="dxa"/>
            </w:tcMar>
          </w:tcPr>
          <w:p w14:paraId="6AB92E86" w14:textId="3BA23AB4"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1</w:t>
            </w:r>
          </w:p>
        </w:tc>
        <w:tc>
          <w:tcPr>
            <w:tcW w:w="1320" w:type="dxa"/>
            <w:shd w:val="clear" w:color="auto" w:fill="auto"/>
            <w:tcMar>
              <w:top w:w="100" w:type="dxa"/>
              <w:left w:w="100" w:type="dxa"/>
              <w:bottom w:w="100" w:type="dxa"/>
              <w:right w:w="100" w:type="dxa"/>
            </w:tcMar>
          </w:tcPr>
          <w:p w14:paraId="5D3AACFC" w14:textId="59B2CFCD"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2F0B2560" w14:textId="3BDABF18"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r>
      <w:tr w:rsidR="000560D5" w14:paraId="2C332ABB" w14:textId="77777777">
        <w:tc>
          <w:tcPr>
            <w:tcW w:w="1860" w:type="dxa"/>
            <w:shd w:val="clear" w:color="auto" w:fill="auto"/>
            <w:tcMar>
              <w:top w:w="100" w:type="dxa"/>
              <w:left w:w="100" w:type="dxa"/>
              <w:bottom w:w="100" w:type="dxa"/>
              <w:right w:w="100" w:type="dxa"/>
            </w:tcMar>
          </w:tcPr>
          <w:p w14:paraId="1F57003E" w14:textId="5D6428E7"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Software vulnerabilities</w:t>
            </w:r>
          </w:p>
        </w:tc>
        <w:tc>
          <w:tcPr>
            <w:tcW w:w="3615" w:type="dxa"/>
            <w:shd w:val="clear" w:color="auto" w:fill="auto"/>
            <w:tcMar>
              <w:top w:w="100" w:type="dxa"/>
              <w:left w:w="100" w:type="dxa"/>
              <w:bottom w:w="100" w:type="dxa"/>
              <w:right w:w="100" w:type="dxa"/>
            </w:tcMar>
          </w:tcPr>
          <w:p w14:paraId="67B0FC59" w14:textId="1E349ABA"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Exploitation of software vulnerabilities </w:t>
            </w:r>
            <w:r w:rsidR="0068040B">
              <w:rPr>
                <w:rFonts w:ascii="Google Sans" w:eastAsia="Google Sans" w:hAnsi="Google Sans" w:cs="Google Sans"/>
                <w:i/>
                <w:color w:val="353744"/>
              </w:rPr>
              <w:t>i.e.</w:t>
            </w:r>
            <w:r>
              <w:rPr>
                <w:rFonts w:ascii="Google Sans" w:eastAsia="Google Sans" w:hAnsi="Google Sans" w:cs="Google Sans"/>
                <w:i/>
                <w:color w:val="353744"/>
              </w:rPr>
              <w:t xml:space="preserve"> bugs,</w:t>
            </w:r>
          </w:p>
        </w:tc>
        <w:tc>
          <w:tcPr>
            <w:tcW w:w="1395" w:type="dxa"/>
            <w:shd w:val="clear" w:color="auto" w:fill="auto"/>
            <w:tcMar>
              <w:top w:w="100" w:type="dxa"/>
              <w:left w:w="100" w:type="dxa"/>
              <w:bottom w:w="100" w:type="dxa"/>
              <w:right w:w="100" w:type="dxa"/>
            </w:tcMar>
          </w:tcPr>
          <w:p w14:paraId="0BCDDA85" w14:textId="3CCB032D"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7344E147" w14:textId="5345B16F"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34834D24" w14:textId="33B4D23B" w:rsidR="000560D5" w:rsidRDefault="000560D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bl>
    <w:p w14:paraId="36805DC4" w14:textId="77777777" w:rsidR="00D027F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11FA3C0C" w14:textId="3876D9C3" w:rsidR="004C6F24" w:rsidRDefault="004C6F24" w:rsidP="004C6F24">
      <w:pPr>
        <w:rPr>
          <w:rFonts w:ascii="Google Sans" w:eastAsia="Google Sans" w:hAnsi="Google Sans" w:cs="Google Sans"/>
          <w:color w:val="353744"/>
        </w:rPr>
      </w:pPr>
    </w:p>
    <w:p w14:paraId="2F621542" w14:textId="32969774" w:rsidR="004C6F24" w:rsidRDefault="004C6F24" w:rsidP="004C6F24">
      <w:pPr>
        <w:rPr>
          <w:rFonts w:ascii="Google Sans" w:eastAsia="Google Sans" w:hAnsi="Google Sans" w:cs="Google Sans"/>
          <w:i/>
          <w:color w:val="353744"/>
        </w:rPr>
      </w:pPr>
      <w:r>
        <w:rPr>
          <w:rFonts w:ascii="Google Sans" w:eastAsia="Google Sans" w:hAnsi="Google Sans" w:cs="Google Sans"/>
          <w:color w:val="353744"/>
        </w:rPr>
        <w:t>Risks were selected based on their potential to impact the confidentiality, integrity and validity of customer data and some key risks identified included unauthorized access, data breaches, SQL injection attacks among other threat events.</w:t>
      </w:r>
      <w:r w:rsidR="0068040B">
        <w:rPr>
          <w:rFonts w:ascii="Google Sans" w:eastAsia="Google Sans" w:hAnsi="Google Sans" w:cs="Google Sans"/>
          <w:color w:val="353744"/>
        </w:rPr>
        <w:t xml:space="preserve"> These risks were prioritized due to their potential to cause severe operational, financial and reputational damage.</w:t>
      </w:r>
    </w:p>
    <w:p w14:paraId="1DBEC49E" w14:textId="77777777" w:rsidR="00D027FA"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t>Remediation Strategy</w:t>
      </w:r>
    </w:p>
    <w:p w14:paraId="3A89A25D" w14:textId="739C7CCC" w:rsidR="00D027FA" w:rsidRDefault="0068040B">
      <w:pPr>
        <w:spacing w:before="200" w:line="312" w:lineRule="auto"/>
        <w:rPr>
          <w:rFonts w:ascii="Google Sans" w:eastAsia="Google Sans" w:hAnsi="Google Sans" w:cs="Google Sans"/>
          <w:color w:val="353744"/>
        </w:rPr>
      </w:pPr>
      <w:r>
        <w:rPr>
          <w:rFonts w:ascii="Google Sans" w:eastAsia="Google Sans" w:hAnsi="Google Sans" w:cs="Google Sans"/>
          <w:color w:val="353744"/>
        </w:rPr>
        <w:t>Implementation of better authentication, authorization and auditing mechanisms to ensure that only the authorized user access the database server. This includes MFA, role-based access and stronger password policies to limit user privileges. Data encryption enhancements are also to be considered using TLS instead of SSL to secure data in motion as well as regular audits and continuous monitoring to track database activities for amoralities.</w:t>
      </w:r>
    </w:p>
    <w:p w14:paraId="1036539E" w14:textId="77777777" w:rsidR="00D027FA" w:rsidRDefault="00D027FA"/>
    <w:sectPr w:rsidR="00D027F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ACE339AA-FA2D-442C-B28B-9EB7548BA20F}"/>
    <w:embedBold r:id="rId2" w:fontKey="{049C89D9-DA88-453D-806F-BC2B3BC65F55}"/>
  </w:font>
  <w:font w:name="Google Sans">
    <w:altName w:val="Calibri"/>
    <w:charset w:val="00"/>
    <w:family w:val="auto"/>
    <w:pitch w:val="default"/>
    <w:embedRegular r:id="rId3" w:fontKey="{316A56B1-AD98-4ABE-A4A3-6BED9E1E3DFD}"/>
    <w:embedBold r:id="rId4" w:fontKey="{97758C7D-81BB-450E-A2C9-F1B75C609783}"/>
    <w:embedItalic r:id="rId5" w:fontKey="{3623C936-C68C-43A3-A3F4-F23634922022}"/>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6" w:fontKey="{D62FFC7D-8FA8-46AD-8B49-C939FAD67846}"/>
  </w:font>
  <w:font w:name="Cambria">
    <w:panose1 w:val="02040503050406030204"/>
    <w:charset w:val="00"/>
    <w:family w:val="roman"/>
    <w:pitch w:val="variable"/>
    <w:sig w:usb0="E00006FF" w:usb1="420024FF" w:usb2="02000000" w:usb3="00000000" w:csb0="0000019F" w:csb1="00000000"/>
    <w:embedRegular r:id="rId7" w:fontKey="{BD6EC97F-47E2-4441-A63D-B505928BE85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2080F"/>
    <w:multiLevelType w:val="multilevel"/>
    <w:tmpl w:val="AEBAC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B33576"/>
    <w:multiLevelType w:val="multilevel"/>
    <w:tmpl w:val="71B6C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C46BC9"/>
    <w:multiLevelType w:val="multilevel"/>
    <w:tmpl w:val="B5D8B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3791561">
    <w:abstractNumId w:val="2"/>
  </w:num>
  <w:num w:numId="2" w16cid:durableId="222982111">
    <w:abstractNumId w:val="0"/>
  </w:num>
  <w:num w:numId="3" w16cid:durableId="637494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FA"/>
    <w:rsid w:val="000560D5"/>
    <w:rsid w:val="004C6F24"/>
    <w:rsid w:val="0068040B"/>
    <w:rsid w:val="00A002AD"/>
    <w:rsid w:val="00D027F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9F333"/>
  <w15:docId w15:val="{2A26CBD0-2A3E-4B0E-BD9E-CC3C2A433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Pages>
  <Words>371</Words>
  <Characters>2117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Leslie Lau</cp:lastModifiedBy>
  <cp:revision>2</cp:revision>
  <dcterms:created xsi:type="dcterms:W3CDTF">2024-06-06T01:58:00Z</dcterms:created>
  <dcterms:modified xsi:type="dcterms:W3CDTF">2024-06-06T06:06:00Z</dcterms:modified>
</cp:coreProperties>
</file>