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0D6B" w14:textId="0B33D132" w:rsidR="00E94AE6" w:rsidRDefault="00D85FB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87tykp1u0l36" w:colFirst="0" w:colLast="0"/>
      <w:bookmarkEnd w:id="0"/>
      <w:r>
        <w:rPr>
          <w:rFonts w:ascii="Google Sans" w:eastAsia="Google Sans" w:hAnsi="Google Sans" w:cs="Google Sans"/>
        </w:rPr>
        <w:t xml:space="preserve">Botium </w:t>
      </w:r>
      <w:r w:rsidR="007C17C7">
        <w:rPr>
          <w:rFonts w:ascii="Google Sans" w:eastAsia="Google Sans" w:hAnsi="Google Sans" w:cs="Google Sans"/>
        </w:rPr>
        <w:t>Controls and compliance checklist</w:t>
      </w:r>
    </w:p>
    <w:p w14:paraId="0EDA7D4B" w14:textId="77777777" w:rsidR="00E94AE6" w:rsidRDefault="00E94AE6">
      <w:pPr>
        <w:rPr>
          <w:rFonts w:ascii="Google Sans" w:eastAsia="Google Sans" w:hAnsi="Google Sans" w:cs="Google Sans"/>
          <w:sz w:val="24"/>
          <w:szCs w:val="24"/>
        </w:rPr>
      </w:pPr>
    </w:p>
    <w:p w14:paraId="08A80677" w14:textId="77777777" w:rsidR="00E94AE6" w:rsidRDefault="00E94AE6">
      <w:pPr>
        <w:rPr>
          <w:rFonts w:ascii="Google Sans" w:eastAsia="Google Sans" w:hAnsi="Google Sans" w:cs="Google Sans"/>
        </w:rPr>
      </w:pPr>
    </w:p>
    <w:p w14:paraId="310CC28C" w14:textId="77777777" w:rsidR="00E94AE6" w:rsidRDefault="00E94AE6">
      <w:pPr>
        <w:rPr>
          <w:rFonts w:ascii="Google Sans" w:eastAsia="Google Sans" w:hAnsi="Google Sans" w:cs="Google Sans"/>
        </w:rPr>
      </w:pPr>
    </w:p>
    <w:p w14:paraId="51903AFE" w14:textId="77777777" w:rsidR="00E94AE6" w:rsidRDefault="007C17C7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2533FCB7" w14:textId="77777777" w:rsidR="00E94AE6" w:rsidRDefault="00E94AE6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01"/>
        <w:gridCol w:w="945"/>
        <w:gridCol w:w="7515"/>
      </w:tblGrid>
      <w:tr w:rsidR="00E94AE6" w14:paraId="695B8853" w14:textId="77777777"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B52C" w14:textId="77777777" w:rsidR="00E94AE6" w:rsidRDefault="007C17C7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37C6" w14:textId="77777777" w:rsidR="00E94AE6" w:rsidRDefault="007C17C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51C9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E94AE6" w14:paraId="1FC30911" w14:textId="77777777"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BF2D" w14:textId="77777777" w:rsidR="00E94AE6" w:rsidRDefault="00E94AE6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182E" w14:textId="77777777" w:rsidR="00E94AE6" w:rsidRDefault="00E94AE6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A035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E94AE6" w14:paraId="08A9B919" w14:textId="77777777"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95BD" w14:textId="77777777" w:rsidR="00E94AE6" w:rsidRDefault="00E94AE6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2EDA" w14:textId="77777777" w:rsidR="00E94AE6" w:rsidRDefault="00E94AE6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4E11" w14:textId="77777777" w:rsidR="00E94AE6" w:rsidRDefault="007C17C7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E94AE6" w14:paraId="5D915A50" w14:textId="77777777"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9C2A" w14:textId="77777777" w:rsidR="00E94AE6" w:rsidRDefault="00E94AE6" w:rsidP="00D85FB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FE48" w14:textId="77777777" w:rsidR="00E94AE6" w:rsidRDefault="00E94AE6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CFEC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E94AE6" w14:paraId="4412D5A9" w14:textId="77777777"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A29A" w14:textId="77777777" w:rsidR="00E94AE6" w:rsidRDefault="00E94AE6" w:rsidP="00D85FB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CB3C" w14:textId="77777777" w:rsidR="00E94AE6" w:rsidRDefault="00E94AE6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75BF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E94AE6" w14:paraId="082561FC" w14:textId="77777777"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93DB" w14:textId="77777777" w:rsidR="00E94AE6" w:rsidRDefault="00E94AE6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FBC4" w14:textId="77777777" w:rsidR="00E94AE6" w:rsidRDefault="00E94AE6" w:rsidP="00D85FB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8BC9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E94AE6" w14:paraId="542F058F" w14:textId="77777777"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AA5C" w14:textId="77777777" w:rsidR="00E94AE6" w:rsidRDefault="00E94AE6" w:rsidP="00D85FB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4C89" w14:textId="77777777" w:rsidR="00E94AE6" w:rsidRDefault="00E94AE6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F7B1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E94AE6" w14:paraId="3042A8D2" w14:textId="77777777"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2AFF" w14:textId="77777777" w:rsidR="00E94AE6" w:rsidRDefault="00E94AE6" w:rsidP="00D85FB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4FA2" w14:textId="77777777" w:rsidR="00E94AE6" w:rsidRDefault="00E94AE6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A8E9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E94AE6" w14:paraId="0192B04B" w14:textId="77777777"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4048" w14:textId="77777777" w:rsidR="00E94AE6" w:rsidRDefault="00E94AE6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C246" w14:textId="77777777" w:rsidR="00E94AE6" w:rsidRDefault="00E94AE6" w:rsidP="00D85FB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F982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E94AE6" w14:paraId="74B44298" w14:textId="77777777" w:rsidTr="00D85FB0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EC55" w14:textId="77777777" w:rsidR="00E94AE6" w:rsidRDefault="00E94AE6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76D5" w14:textId="77777777" w:rsidR="00E94AE6" w:rsidRDefault="00E94AE6" w:rsidP="00D85FB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BBCB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E94AE6" w14:paraId="22B7F376" w14:textId="77777777"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B821" w14:textId="77777777" w:rsidR="00E94AE6" w:rsidRDefault="00E94AE6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AE05" w14:textId="77777777" w:rsidR="00E94AE6" w:rsidRDefault="00E94AE6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BC1A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E94AE6" w14:paraId="2EF45CF5" w14:textId="77777777"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AA52" w14:textId="77777777" w:rsidR="00E94AE6" w:rsidRDefault="00E94AE6" w:rsidP="00D85FB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C4F5" w14:textId="77777777" w:rsidR="00E94AE6" w:rsidRDefault="00E94AE6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DB8B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E94AE6" w14:paraId="109751D5" w14:textId="77777777"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E769" w14:textId="77777777" w:rsidR="00E94AE6" w:rsidRDefault="00E94AE6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A121" w14:textId="77777777" w:rsidR="00E94AE6" w:rsidRDefault="00E94AE6" w:rsidP="00D85FB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3DBE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E94AE6" w14:paraId="3A7E631E" w14:textId="77777777"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0783" w14:textId="77777777" w:rsidR="00E94AE6" w:rsidRDefault="00E94AE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E9BB" w14:textId="77777777" w:rsidR="00E94AE6" w:rsidRDefault="00E94AE6" w:rsidP="00D85FB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8D2A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E94AE6" w14:paraId="1D138DD5" w14:textId="77777777">
        <w:tc>
          <w:tcPr>
            <w:tcW w:w="9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4E17" w14:textId="77777777" w:rsidR="00E94AE6" w:rsidRDefault="00E94AE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9A2E" w14:textId="77777777" w:rsidR="00E94AE6" w:rsidRDefault="00E94AE6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97AC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1234F0E2" w14:textId="77777777" w:rsidR="00E94AE6" w:rsidRDefault="00E94AE6">
      <w:pPr>
        <w:rPr>
          <w:rFonts w:ascii="Google Sans" w:eastAsia="Google Sans" w:hAnsi="Google Sans" w:cs="Google Sans"/>
          <w:sz w:val="24"/>
          <w:szCs w:val="24"/>
        </w:rPr>
      </w:pPr>
    </w:p>
    <w:p w14:paraId="1409D30A" w14:textId="77777777" w:rsidR="00E94AE6" w:rsidRDefault="007C17C7">
      <w:pPr>
        <w:rPr>
          <w:rFonts w:ascii="Google Sans" w:eastAsia="Google Sans" w:hAnsi="Google Sans" w:cs="Google Sans"/>
          <w:sz w:val="24"/>
          <w:szCs w:val="24"/>
        </w:rPr>
      </w:pPr>
      <w:r>
        <w:pict w14:anchorId="0F555BFF">
          <v:rect id="_x0000_i1025" style="width:0;height:1.5pt" o:hralign="center" o:hrstd="t" o:hr="t" fillcolor="#a0a0a0" stroked="f"/>
        </w:pict>
      </w:r>
    </w:p>
    <w:p w14:paraId="57F1DE4E" w14:textId="77777777" w:rsidR="00E94AE6" w:rsidRDefault="00E94AE6">
      <w:pPr>
        <w:rPr>
          <w:rFonts w:ascii="Google Sans" w:eastAsia="Google Sans" w:hAnsi="Google Sans" w:cs="Google Sans"/>
          <w:sz w:val="24"/>
          <w:szCs w:val="24"/>
        </w:rPr>
      </w:pPr>
    </w:p>
    <w:p w14:paraId="570AA2BC" w14:textId="77777777" w:rsidR="00E94AE6" w:rsidRDefault="00E94AE6">
      <w:pPr>
        <w:rPr>
          <w:rFonts w:ascii="Google Sans" w:eastAsia="Google Sans" w:hAnsi="Google Sans" w:cs="Google Sans"/>
          <w:sz w:val="24"/>
          <w:szCs w:val="24"/>
        </w:rPr>
      </w:pPr>
    </w:p>
    <w:p w14:paraId="203AA018" w14:textId="5DED2E4C" w:rsidR="00E94AE6" w:rsidRDefault="00E94AE6">
      <w:pPr>
        <w:rPr>
          <w:rFonts w:ascii="Google Sans" w:eastAsia="Google Sans" w:hAnsi="Google Sans" w:cs="Google Sans"/>
          <w:sz w:val="24"/>
          <w:szCs w:val="24"/>
        </w:rPr>
      </w:pPr>
    </w:p>
    <w:p w14:paraId="6F161038" w14:textId="77777777" w:rsidR="00D85FB0" w:rsidRDefault="00D85FB0">
      <w:pPr>
        <w:rPr>
          <w:rFonts w:ascii="Google Sans" w:eastAsia="Google Sans" w:hAnsi="Google Sans" w:cs="Google Sans"/>
          <w:sz w:val="24"/>
          <w:szCs w:val="24"/>
        </w:rPr>
      </w:pPr>
    </w:p>
    <w:p w14:paraId="041C7D95" w14:textId="77777777" w:rsidR="00E94AE6" w:rsidRDefault="007C17C7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lastRenderedPageBreak/>
        <w:t>Compliance checklist</w:t>
      </w:r>
    </w:p>
    <w:p w14:paraId="540A6DD5" w14:textId="77777777" w:rsidR="00E94AE6" w:rsidRDefault="00E94AE6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2F2460C4" w14:textId="77777777" w:rsidR="00E94AE6" w:rsidRDefault="007C17C7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25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19"/>
        <w:gridCol w:w="904"/>
        <w:gridCol w:w="7430"/>
      </w:tblGrid>
      <w:tr w:rsidR="00E94AE6" w14:paraId="434A5CF6" w14:textId="77777777" w:rsidTr="002160D5">
        <w:trPr>
          <w:trHeight w:val="269"/>
        </w:trPr>
        <w:tc>
          <w:tcPr>
            <w:tcW w:w="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179F" w14:textId="77777777" w:rsidR="00E94AE6" w:rsidRDefault="007C17C7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EF20" w14:textId="77777777" w:rsidR="00E94AE6" w:rsidRDefault="007C17C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7996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E94AE6" w14:paraId="0937CAC6" w14:textId="77777777" w:rsidTr="002160D5">
        <w:trPr>
          <w:trHeight w:val="606"/>
        </w:trPr>
        <w:tc>
          <w:tcPr>
            <w:tcW w:w="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31AC" w14:textId="77777777" w:rsidR="00E94AE6" w:rsidRDefault="00E94AE6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40F7" w14:textId="77777777" w:rsidR="00E94AE6" w:rsidRDefault="00E94AE6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2762" w14:textId="77777777" w:rsidR="00E94AE6" w:rsidRDefault="007C17C7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E94AE6" w14:paraId="298F1A1E" w14:textId="77777777" w:rsidTr="002160D5">
        <w:trPr>
          <w:trHeight w:val="538"/>
        </w:trPr>
        <w:tc>
          <w:tcPr>
            <w:tcW w:w="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BE42" w14:textId="77777777" w:rsidR="00E94AE6" w:rsidRDefault="00E94AE6" w:rsidP="00D85FB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C9E2" w14:textId="77777777" w:rsidR="00E94AE6" w:rsidRDefault="00E94AE6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D01F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E94AE6" w14:paraId="4BCEC42B" w14:textId="77777777" w:rsidTr="002160D5">
        <w:trPr>
          <w:trHeight w:val="538"/>
        </w:trPr>
        <w:tc>
          <w:tcPr>
            <w:tcW w:w="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B71B" w14:textId="77777777" w:rsidR="00E94AE6" w:rsidRDefault="00E94AE6" w:rsidP="00D85FB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6837" w14:textId="77777777" w:rsidR="00E94AE6" w:rsidRDefault="00E94AE6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E4E9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E94AE6" w14:paraId="2FBBC877" w14:textId="77777777" w:rsidTr="002160D5">
        <w:trPr>
          <w:trHeight w:val="269"/>
        </w:trPr>
        <w:tc>
          <w:tcPr>
            <w:tcW w:w="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7378" w14:textId="77777777" w:rsidR="00E94AE6" w:rsidRDefault="00E94AE6" w:rsidP="00D85FB0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B83B" w14:textId="77777777" w:rsidR="00E94AE6" w:rsidRDefault="00E94AE6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9005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545ECC37" w14:textId="6BC4F52B" w:rsidR="00E94AE6" w:rsidRDefault="00E94AE6">
      <w:pPr>
        <w:rPr>
          <w:rFonts w:ascii="Google Sans" w:eastAsia="Google Sans" w:hAnsi="Google Sans" w:cs="Google Sans"/>
          <w:sz w:val="24"/>
          <w:szCs w:val="24"/>
        </w:rPr>
      </w:pPr>
    </w:p>
    <w:p w14:paraId="7DFE664F" w14:textId="62CE069A" w:rsidR="002160D5" w:rsidRDefault="002160D5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Botium Toys does not currently follow PCI DSS being the international standard for storing accepting and processing credit card information in a secure environment as they are not only a physical store but also an ecommerce store that handles payments as part of its daily </w:t>
      </w:r>
      <w:r w:rsidR="00B83F69">
        <w:rPr>
          <w:rFonts w:ascii="Google Sans" w:eastAsia="Google Sans" w:hAnsi="Google Sans" w:cs="Google Sans"/>
          <w:sz w:val="24"/>
          <w:szCs w:val="24"/>
        </w:rPr>
        <w:t>organization’s</w:t>
      </w:r>
      <w:r>
        <w:rPr>
          <w:rFonts w:ascii="Google Sans" w:eastAsia="Google Sans" w:hAnsi="Google Sans" w:cs="Google Sans"/>
          <w:sz w:val="24"/>
          <w:szCs w:val="24"/>
        </w:rPr>
        <w:t xml:space="preserve"> operations. </w:t>
      </w:r>
    </w:p>
    <w:p w14:paraId="76FDDFBA" w14:textId="77777777" w:rsidR="002160D5" w:rsidRDefault="002160D5">
      <w:pPr>
        <w:rPr>
          <w:rFonts w:ascii="Google Sans" w:eastAsia="Google Sans" w:hAnsi="Google Sans" w:cs="Google Sans"/>
          <w:sz w:val="24"/>
          <w:szCs w:val="24"/>
        </w:rPr>
      </w:pPr>
    </w:p>
    <w:p w14:paraId="53CD420E" w14:textId="77777777" w:rsidR="00E94AE6" w:rsidRDefault="007C17C7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E94AE6" w14:paraId="1954F34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F865" w14:textId="77777777" w:rsidR="00E94AE6" w:rsidRDefault="007C17C7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4DDFC" w14:textId="77777777" w:rsidR="00E94AE6" w:rsidRDefault="007C17C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D53A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E94AE6" w14:paraId="4CC8F8F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CEA4" w14:textId="77777777" w:rsidR="00E94AE6" w:rsidRDefault="00E94AE6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551A" w14:textId="77777777" w:rsidR="00E94AE6" w:rsidRDefault="00E94AE6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9319" w14:textId="77777777" w:rsidR="00E94AE6" w:rsidRDefault="007C17C7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E94AE6" w14:paraId="5A76F50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7E6F" w14:textId="77777777" w:rsidR="00E94AE6" w:rsidRDefault="00E94AE6" w:rsidP="002160D5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4158" w14:textId="77777777" w:rsidR="00E94AE6" w:rsidRDefault="00E94AE6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785B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E94AE6" w14:paraId="78338AE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FB32" w14:textId="77777777" w:rsidR="00E94AE6" w:rsidRDefault="00E94AE6" w:rsidP="002160D5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7039" w14:textId="77777777" w:rsidR="00E94AE6" w:rsidRDefault="00E94AE6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A59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E94AE6" w14:paraId="7C1CB84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68FA" w14:textId="77777777" w:rsidR="00E94AE6" w:rsidRDefault="00E94AE6" w:rsidP="002160D5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2D56" w14:textId="77777777" w:rsidR="00E94AE6" w:rsidRDefault="00E94AE6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3972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74D5A0C1" w14:textId="77777777" w:rsidR="00E94AE6" w:rsidRDefault="00E94AE6">
      <w:pPr>
        <w:rPr>
          <w:rFonts w:ascii="Google Sans" w:eastAsia="Google Sans" w:hAnsi="Google Sans" w:cs="Google Sans"/>
          <w:sz w:val="24"/>
          <w:szCs w:val="24"/>
        </w:rPr>
      </w:pPr>
    </w:p>
    <w:p w14:paraId="1FE8B741" w14:textId="79EC2242" w:rsidR="00A840AC" w:rsidRDefault="002160D5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Botium Toy’s operations do not fall within the </w:t>
      </w:r>
      <w:r w:rsidR="00B83F69">
        <w:rPr>
          <w:rFonts w:ascii="Google Sans" w:eastAsia="Google Sans" w:hAnsi="Google Sans" w:cs="Google Sans"/>
          <w:sz w:val="24"/>
          <w:szCs w:val="24"/>
        </w:rPr>
        <w:t>GDPR data</w:t>
      </w:r>
      <w:r>
        <w:rPr>
          <w:rFonts w:ascii="Google Sans" w:eastAsia="Google Sans" w:hAnsi="Google Sans" w:cs="Google Sans"/>
          <w:sz w:val="24"/>
          <w:szCs w:val="24"/>
        </w:rPr>
        <w:t xml:space="preserve"> regulations and may cause customer data and information to be compromised</w:t>
      </w:r>
      <w:r w:rsidR="00A840AC">
        <w:rPr>
          <w:rFonts w:ascii="Google Sans" w:eastAsia="Google Sans" w:hAnsi="Google Sans" w:cs="Google Sans"/>
          <w:sz w:val="24"/>
          <w:szCs w:val="24"/>
        </w:rPr>
        <w:t xml:space="preserve"> and this may result in fines and penalties in the case that Botium Toys expands and begins operations in the EU</w:t>
      </w:r>
    </w:p>
    <w:p w14:paraId="2A5F4012" w14:textId="77777777" w:rsidR="002160D5" w:rsidRDefault="002160D5">
      <w:pPr>
        <w:rPr>
          <w:rFonts w:ascii="Google Sans" w:eastAsia="Google Sans" w:hAnsi="Google Sans" w:cs="Google Sans"/>
          <w:sz w:val="24"/>
          <w:szCs w:val="24"/>
        </w:rPr>
      </w:pPr>
    </w:p>
    <w:p w14:paraId="013CBEF5" w14:textId="77777777" w:rsidR="00E94AE6" w:rsidRDefault="007C17C7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lastRenderedPageBreak/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4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40"/>
        <w:gridCol w:w="925"/>
        <w:gridCol w:w="7599"/>
      </w:tblGrid>
      <w:tr w:rsidR="00E94AE6" w14:paraId="02936699" w14:textId="77777777" w:rsidTr="00BC0CDE">
        <w:trPr>
          <w:trHeight w:val="319"/>
        </w:trPr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780D" w14:textId="77777777" w:rsidR="00E94AE6" w:rsidRDefault="007C17C7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434B" w14:textId="77777777" w:rsidR="00E94AE6" w:rsidRDefault="007C17C7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7EE9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E94AE6" w14:paraId="6182A059" w14:textId="77777777" w:rsidTr="00BC0CDE">
        <w:trPr>
          <w:trHeight w:val="351"/>
        </w:trPr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A6AA" w14:textId="77777777" w:rsidR="00E94AE6" w:rsidRDefault="00E94AE6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B29C" w14:textId="77777777" w:rsidR="00E94AE6" w:rsidRDefault="00E94AE6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D5F9" w14:textId="77777777" w:rsidR="00E94AE6" w:rsidRDefault="007C17C7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E94AE6" w14:paraId="3805C22D" w14:textId="77777777" w:rsidTr="00BC0CDE">
        <w:trPr>
          <w:trHeight w:val="319"/>
        </w:trPr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6FF0" w14:textId="77777777" w:rsidR="00E94AE6" w:rsidRDefault="00E94AE6" w:rsidP="00A840A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42D3" w14:textId="77777777" w:rsidR="00E94AE6" w:rsidRDefault="00E94AE6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5D36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E94AE6" w14:paraId="56DD4239" w14:textId="77777777" w:rsidTr="00BC0CDE">
        <w:trPr>
          <w:trHeight w:val="639"/>
        </w:trPr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FEDB" w14:textId="77777777" w:rsidR="00E94AE6" w:rsidRDefault="00E94AE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EE7A" w14:textId="77777777" w:rsidR="00E94AE6" w:rsidRDefault="00E94AE6" w:rsidP="00A840A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8CC5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E94AE6" w14:paraId="4A0540CC" w14:textId="77777777" w:rsidTr="00BC0CDE">
        <w:trPr>
          <w:trHeight w:val="319"/>
        </w:trPr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6AB0" w14:textId="77777777" w:rsidR="00E94AE6" w:rsidRDefault="00E94AE6" w:rsidP="00A840A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9D94" w14:textId="77777777" w:rsidR="00E94AE6" w:rsidRDefault="00E94AE6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2715" w14:textId="77777777" w:rsidR="00E94AE6" w:rsidRDefault="007C17C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7494C863" w14:textId="77777777" w:rsidR="00A840AC" w:rsidRDefault="00A840AC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4693A8BA" w14:textId="479A8386" w:rsidR="00E94AE6" w:rsidRDefault="009F52FF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Although</w:t>
      </w:r>
      <w:r w:rsidR="00A840AC">
        <w:rPr>
          <w:rFonts w:ascii="Google Sans" w:eastAsia="Google Sans" w:hAnsi="Google Sans" w:cs="Google Sans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sz w:val="24"/>
          <w:szCs w:val="24"/>
        </w:rPr>
        <w:t xml:space="preserve">Botium toys have preserved its data integrity, it lacks established user access policies. This poses a risk to sensitive data being compromised in the event of a malicious actor within the company staff, given that all employees currently have access to internally stored data, rather than only the individuals that should have access to it. </w:t>
      </w:r>
    </w:p>
    <w:p w14:paraId="29BCC083" w14:textId="77777777" w:rsidR="00E94AE6" w:rsidRDefault="007C17C7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58B6FC55">
          <v:rect id="_x0000_i1026" style="width:0;height:1.5pt" o:hralign="center" o:hrstd="t" o:hr="t" fillcolor="#a0a0a0" stroked="f"/>
        </w:pict>
      </w:r>
    </w:p>
    <w:p w14:paraId="4BEE4838" w14:textId="106ECDA5" w:rsidR="00E94AE6" w:rsidRDefault="009F52FF">
      <w:pPr>
        <w:rPr>
          <w:u w:val="single"/>
        </w:rPr>
      </w:pPr>
      <w:r w:rsidRPr="009F52FF">
        <w:rPr>
          <w:rFonts w:ascii="Google Sans" w:eastAsia="Google Sans" w:hAnsi="Google Sans" w:cs="Google Sans"/>
          <w:sz w:val="24"/>
          <w:szCs w:val="24"/>
          <w:u w:val="single"/>
        </w:rPr>
        <w:t xml:space="preserve">Recommendations </w:t>
      </w:r>
      <w:r w:rsidRPr="009F52FF">
        <w:rPr>
          <w:rFonts w:ascii="Google Sans" w:eastAsia="Google Sans" w:hAnsi="Google Sans" w:cs="Google Sans"/>
          <w:sz w:val="24"/>
          <w:szCs w:val="24"/>
          <w:u w:val="single"/>
        </w:rPr>
        <w:br/>
      </w:r>
    </w:p>
    <w:p w14:paraId="05D3F974" w14:textId="5017BE15" w:rsidR="009F52FF" w:rsidRDefault="00D30979">
      <w:r>
        <w:t>Based on the identified risks and vulnerabilities from Botium toys some of the recommendations may be implemented to improve security controls and compliance practices</w:t>
      </w:r>
    </w:p>
    <w:p w14:paraId="2C8FC94F" w14:textId="232AAD13" w:rsidR="00D30979" w:rsidRDefault="00D30979"/>
    <w:p w14:paraId="373E6F6B" w14:textId="44AA434B" w:rsidR="00D30979" w:rsidRDefault="00D30979">
      <w:r>
        <w:t>User Access controls</w:t>
      </w:r>
    </w:p>
    <w:p w14:paraId="102C2A84" w14:textId="7F0FEA7F" w:rsidR="00D30979" w:rsidRDefault="00D30979" w:rsidP="00D30979">
      <w:pPr>
        <w:pStyle w:val="ListParagraph"/>
        <w:numPr>
          <w:ilvl w:val="0"/>
          <w:numId w:val="21"/>
        </w:numPr>
      </w:pPr>
      <w:r>
        <w:t xml:space="preserve">Implementation of role-based access control systems to restrict the access to sensitive data. Only authorized personnel should have access to cardholder data and customer PII/SPII </w:t>
      </w:r>
    </w:p>
    <w:p w14:paraId="081E7070" w14:textId="7CADA714" w:rsidR="00D30979" w:rsidRDefault="00D30979" w:rsidP="00D30979">
      <w:pPr>
        <w:pStyle w:val="ListParagraph"/>
        <w:numPr>
          <w:ilvl w:val="0"/>
          <w:numId w:val="21"/>
        </w:numPr>
      </w:pPr>
      <w:r>
        <w:t xml:space="preserve">Adoption of principles of least privilege and separations of duties to limit access to data based on the job roles and responsibilities </w:t>
      </w:r>
    </w:p>
    <w:p w14:paraId="0F228F5C" w14:textId="77777777" w:rsidR="00D30979" w:rsidRDefault="00D30979" w:rsidP="00D30979">
      <w:pPr>
        <w:pStyle w:val="ListParagraph"/>
      </w:pPr>
    </w:p>
    <w:p w14:paraId="4FEF981E" w14:textId="20A3FFED" w:rsidR="00D30979" w:rsidRDefault="00D30979" w:rsidP="00D30979">
      <w:r>
        <w:t>Data encryption</w:t>
      </w:r>
    </w:p>
    <w:p w14:paraId="4E9DEF41" w14:textId="45869ED7" w:rsidR="00D30979" w:rsidRDefault="00D30979" w:rsidP="00D30979">
      <w:pPr>
        <w:pStyle w:val="ListParagraph"/>
        <w:numPr>
          <w:ilvl w:val="0"/>
          <w:numId w:val="22"/>
        </w:numPr>
      </w:pPr>
      <w:r>
        <w:t xml:space="preserve">Implement robust encryption mechanisms to safeguard customer credit card information from </w:t>
      </w:r>
      <w:r w:rsidR="00B83F69">
        <w:t>point-to-point</w:t>
      </w:r>
      <w:r>
        <w:t xml:space="preserve"> transactions.</w:t>
      </w:r>
    </w:p>
    <w:p w14:paraId="79716B94" w14:textId="5560E5B6" w:rsidR="00D30979" w:rsidRDefault="00D30979" w:rsidP="00D30979"/>
    <w:p w14:paraId="01596B43" w14:textId="7775C1C3" w:rsidR="00D30979" w:rsidRDefault="00D30979" w:rsidP="00D30979">
      <w:r>
        <w:t>Intrusion detection and prevention</w:t>
      </w:r>
    </w:p>
    <w:p w14:paraId="7B975883" w14:textId="4F08F726" w:rsidR="00D30979" w:rsidRDefault="00D30979" w:rsidP="00D30979">
      <w:pPr>
        <w:pStyle w:val="ListParagraph"/>
        <w:numPr>
          <w:ilvl w:val="0"/>
          <w:numId w:val="22"/>
        </w:numPr>
      </w:pPr>
      <w:r>
        <w:lastRenderedPageBreak/>
        <w:t xml:space="preserve">Install and regularly update an intrusion detection system IDS to monitor and detect unauthorized access or </w:t>
      </w:r>
      <w:r w:rsidR="00B83F69">
        <w:t>malicious</w:t>
      </w:r>
      <w:r>
        <w:t xml:space="preserve"> activities.</w:t>
      </w:r>
    </w:p>
    <w:p w14:paraId="6A952A8F" w14:textId="4FC51846" w:rsidR="00D30979" w:rsidRDefault="00D30979" w:rsidP="00D30979"/>
    <w:p w14:paraId="574126F2" w14:textId="7706D03B" w:rsidR="00B83F69" w:rsidRDefault="00B83F69" w:rsidP="00D30979">
      <w:r>
        <w:t xml:space="preserve">Disaster recovery and data backup </w:t>
      </w:r>
    </w:p>
    <w:p w14:paraId="5B6F5E32" w14:textId="4C6C97B3" w:rsidR="00B83F69" w:rsidRDefault="00B83F69" w:rsidP="00B83F69">
      <w:pPr>
        <w:pStyle w:val="ListParagraph"/>
        <w:numPr>
          <w:ilvl w:val="0"/>
          <w:numId w:val="22"/>
        </w:numPr>
      </w:pPr>
      <w:r>
        <w:t xml:space="preserve">Develop and regularly test disaster recovery plans to ensure business continuity in the event of data loss or security beach. </w:t>
      </w:r>
    </w:p>
    <w:p w14:paraId="7D0480D2" w14:textId="22DF527F" w:rsidR="00B83F69" w:rsidRDefault="00B83F69" w:rsidP="00B83F69">
      <w:pPr>
        <w:pStyle w:val="ListParagraph"/>
        <w:numPr>
          <w:ilvl w:val="0"/>
          <w:numId w:val="22"/>
        </w:numPr>
      </w:pPr>
      <w:r>
        <w:t xml:space="preserve">Implement regular data backup procedures </w:t>
      </w:r>
    </w:p>
    <w:p w14:paraId="65BC8C48" w14:textId="6C6C8B28" w:rsidR="00B83F69" w:rsidRDefault="00B83F69" w:rsidP="00B83F69">
      <w:pPr>
        <w:pStyle w:val="ListParagraph"/>
      </w:pPr>
    </w:p>
    <w:p w14:paraId="1B236BA4" w14:textId="08916FFF" w:rsidR="00B83F69" w:rsidRPr="009F52FF" w:rsidRDefault="00B83F69" w:rsidP="00B83F69">
      <w:r>
        <w:t>By implementing these recommendations Botium Toys can significantly reduce the risk associated with data breaches, non-compliance and unauthorized access, thereby enhancing overall security and safeguarding sensitive information.</w:t>
      </w:r>
    </w:p>
    <w:sectPr w:rsidR="00B83F69" w:rsidRPr="009F52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F01"/>
    <w:multiLevelType w:val="hybridMultilevel"/>
    <w:tmpl w:val="AAFCF3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3F82"/>
    <w:multiLevelType w:val="multilevel"/>
    <w:tmpl w:val="4058B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F37CEC"/>
    <w:multiLevelType w:val="multilevel"/>
    <w:tmpl w:val="5D7E3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8375FA"/>
    <w:multiLevelType w:val="multilevel"/>
    <w:tmpl w:val="AD0C3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CE147D"/>
    <w:multiLevelType w:val="multilevel"/>
    <w:tmpl w:val="63B81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1B5F29"/>
    <w:multiLevelType w:val="multilevel"/>
    <w:tmpl w:val="CD1C2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881B1F"/>
    <w:multiLevelType w:val="multilevel"/>
    <w:tmpl w:val="73BEA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1F4B9F"/>
    <w:multiLevelType w:val="multilevel"/>
    <w:tmpl w:val="9BEE9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F41162"/>
    <w:multiLevelType w:val="multilevel"/>
    <w:tmpl w:val="0DF24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547942"/>
    <w:multiLevelType w:val="multilevel"/>
    <w:tmpl w:val="32682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745B6C"/>
    <w:multiLevelType w:val="hybridMultilevel"/>
    <w:tmpl w:val="B4F835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53E26"/>
    <w:multiLevelType w:val="multilevel"/>
    <w:tmpl w:val="DD9A1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AF7A77"/>
    <w:multiLevelType w:val="multilevel"/>
    <w:tmpl w:val="F7426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CD0505"/>
    <w:multiLevelType w:val="multilevel"/>
    <w:tmpl w:val="92541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021266"/>
    <w:multiLevelType w:val="multilevel"/>
    <w:tmpl w:val="1A1E3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4F5D44"/>
    <w:multiLevelType w:val="multilevel"/>
    <w:tmpl w:val="8EBEB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A14508"/>
    <w:multiLevelType w:val="multilevel"/>
    <w:tmpl w:val="F852F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1E7628"/>
    <w:multiLevelType w:val="multilevel"/>
    <w:tmpl w:val="51406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03A42DB"/>
    <w:multiLevelType w:val="multilevel"/>
    <w:tmpl w:val="0DC49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DE569E"/>
    <w:multiLevelType w:val="multilevel"/>
    <w:tmpl w:val="419ED79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8E110EF"/>
    <w:multiLevelType w:val="multilevel"/>
    <w:tmpl w:val="B6160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BF7118E"/>
    <w:multiLevelType w:val="multilevel"/>
    <w:tmpl w:val="2A045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2"/>
  </w:num>
  <w:num w:numId="5">
    <w:abstractNumId w:val="17"/>
  </w:num>
  <w:num w:numId="6">
    <w:abstractNumId w:val="14"/>
  </w:num>
  <w:num w:numId="7">
    <w:abstractNumId w:val="5"/>
  </w:num>
  <w:num w:numId="8">
    <w:abstractNumId w:val="11"/>
  </w:num>
  <w:num w:numId="9">
    <w:abstractNumId w:val="4"/>
  </w:num>
  <w:num w:numId="10">
    <w:abstractNumId w:val="9"/>
  </w:num>
  <w:num w:numId="11">
    <w:abstractNumId w:val="16"/>
  </w:num>
  <w:num w:numId="12">
    <w:abstractNumId w:val="19"/>
  </w:num>
  <w:num w:numId="13">
    <w:abstractNumId w:val="7"/>
  </w:num>
  <w:num w:numId="14">
    <w:abstractNumId w:val="1"/>
  </w:num>
  <w:num w:numId="15">
    <w:abstractNumId w:val="21"/>
  </w:num>
  <w:num w:numId="16">
    <w:abstractNumId w:val="6"/>
  </w:num>
  <w:num w:numId="17">
    <w:abstractNumId w:val="12"/>
  </w:num>
  <w:num w:numId="18">
    <w:abstractNumId w:val="3"/>
  </w:num>
  <w:num w:numId="19">
    <w:abstractNumId w:val="8"/>
  </w:num>
  <w:num w:numId="20">
    <w:abstractNumId w:val="20"/>
  </w:num>
  <w:num w:numId="21">
    <w:abstractNumId w:val="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AE6"/>
    <w:rsid w:val="002160D5"/>
    <w:rsid w:val="007C17C7"/>
    <w:rsid w:val="009F52FF"/>
    <w:rsid w:val="00A840AC"/>
    <w:rsid w:val="00B83F69"/>
    <w:rsid w:val="00BC0CDE"/>
    <w:rsid w:val="00D30979"/>
    <w:rsid w:val="00D85FB0"/>
    <w:rsid w:val="00E9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56F2"/>
  <w15:docId w15:val="{7DFE9475-EEAC-4140-921D-7A997A3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3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Lau</dc:creator>
  <cp:lastModifiedBy>Leslie Lau</cp:lastModifiedBy>
  <cp:revision>2</cp:revision>
  <dcterms:created xsi:type="dcterms:W3CDTF">2024-04-03T09:07:00Z</dcterms:created>
  <dcterms:modified xsi:type="dcterms:W3CDTF">2024-04-03T09:07:00Z</dcterms:modified>
</cp:coreProperties>
</file>