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600"/>
            <w:shd w:val="clear" w:color="auto" w:fill="E8407A"/>
            <w:tcBdr>
              <w:top w:val="nil" w:sz="4" w:space="0" w:color="auto"/>
              <w:bottom w:val="nil" w:sz="4" w:space="0" w:color="auto"/>
              <w:left w:val="nil" w:sz="4" w:space="0" w:color="auto"/>
              <w:right w:val="nil" w:sz="4" w:space="0" w:color="auto"/>
            </w:tcBdr>
          </w:tcPr>
          <w:p>
            <w:pPr>
              <w:spacing w:before="0" w:after="0"/>
            </w:pPr>
          </w:p>
        </w:tc>
        <w:tc>
          <w:tcPr>
            <w:tcW w:type="dxa" w:w="3600"/>
            <w:shd w:val="clear" w:color="auto" w:fill="F06850"/>
            <w:tcBdr>
              <w:top w:val="nil" w:sz="4" w:space="0" w:color="auto"/>
              <w:bottom w:val="nil" w:sz="4" w:space="0" w:color="auto"/>
              <w:left w:val="nil" w:sz="4" w:space="0" w:color="auto"/>
              <w:right w:val="nil" w:sz="4" w:space="0" w:color="auto"/>
            </w:tcBdr>
          </w:tcPr>
          <w:p>
            <w:pPr>
              <w:spacing w:before="0" w:after="0"/>
            </w:pPr>
          </w:p>
        </w:tc>
        <w:tc>
          <w:tcPr>
            <w:tcW w:type="dxa" w:w="3600"/>
            <w:shd w:val="clear" w:color="auto" w:fill="F5A623"/>
            <w:tcBdr>
              <w:top w:val="nil" w:sz="4" w:space="0" w:color="auto"/>
              <w:bottom w:val="nil" w:sz="4" w:space="0" w:color="auto"/>
              <w:left w:val="nil" w:sz="4" w:space="0" w:color="auto"/>
              <w:right w:val="nil" w:sz="4" w:space="0" w:color="auto"/>
            </w:tcBdr>
          </w:tcPr>
          <w:p>
            <w:pPr>
              <w:spacing w:before="0" w:after="0"/>
            </w:pPr>
          </w:p>
        </w:tc>
      </w:tr>
    </w:tbl>
    <w:p>
      <w:pPr>
        <w:spacing w:before="100" w:after="40"/>
        <w:jc w:val="center"/>
      </w:pPr>
      <w:r>
        <w:rPr>
          <w:rFonts w:ascii="Calibri" w:hAnsi="Calibri"/>
          <w:b/>
          <w:i w:val="0"/>
          <w:color w:val="C02050"/>
          <w:sz w:val="15"/>
        </w:rPr>
        <w:t>CONFIDENTIAL  —  UNDER NDA  —  FOR AUTHORISED RECIPIENTS ONLY</w:t>
      </w:r>
    </w:p>
    <w:p>
      <w:pPr>
        <w:spacing w:before="60" w:after="20"/>
      </w:pPr>
      <w:r>
        <w:rPr>
          <w:rFonts w:ascii="Calibri" w:hAnsi="Calibri"/>
          <w:b/>
          <w:i w:val="0"/>
          <w:color w:val="E8407A"/>
          <w:sz w:val="44"/>
        </w:rPr>
        <w:t>Lightspeed AI Platform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555566"/>
          <w:sz w:val="19"/>
        </w:rPr>
        <w:t>Technical Brief  ·  Senior Developer Review  ·  March 2026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A1A2E"/>
          <w:sz w:val="17"/>
        </w:rPr>
        <w:t>Full-stack AI productivity suite for Canadian charitable lottery nonprofits. Six tools on a shared Node.js/Express + PostgreSQL backend, all powered by Anthropic Claude (Sonnet 4.6 primary · Haiku 4.5 for filtering/summarisation · Opus 4.6 optional). Single-page vanilla JS frontend. SSE streaming throughout. JWT auth · Stripe billing · Shopify integration.</w:t>
      </w:r>
    </w:p>
    <w:p>
      <w:pPr>
        <w:spacing w:before="80" w:after="80"/>
        <w:pBdr>
          <w:top w:val="single" w:sz="8" w:space="1" w:color="E8407A"/>
        </w:pBdr>
      </w:pPr>
    </w:p>
    <w:p>
      <w:pPr>
        <w:spacing w:before="60" w:after="20"/>
      </w:pPr>
      <w:r>
        <w:rPr>
          <w:rFonts w:ascii="Calibri" w:hAnsi="Calibri"/>
          <w:b/>
          <w:i w:val="0"/>
          <w:color w:val="F06850"/>
          <w:sz w:val="18"/>
        </w:rPr>
        <w:t xml:space="preserve">  01  </w:t>
      </w:r>
      <w:r>
        <w:rPr>
          <w:rFonts w:ascii="Calibri" w:hAnsi="Calibri"/>
          <w:b/>
          <w:i w:val="0"/>
          <w:color w:val="1A1A2E"/>
          <w:sz w:val="21"/>
        </w:rPr>
        <w:t>RESPONSE ASSISTANT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1A1A2E"/>
          <w:sz w:val="17"/>
        </w:rPr>
        <w:t>AI-powered customer support composer for lottery inquiries. Staff paste a customer question; the tool returns a complete, brand-consistent response respecting tone, language, format (email or Facebook), and compliance rules.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tcW/>
            <w:shd w:val="clear" w:color="auto" w:fill="FAF4F7"/>
            <w:tcBdr>
              <w:top w:val="single" w:sz="4" w:space="0" w:color="E8407A"/>
              <w:bottom w:val="nil" w:sz="4" w:space="0" w:color="auto"/>
              <w:left w:val="nil" w:sz="4" w:space="0" w:color="auto"/>
              <w:right w:val="nil" w:sz="4" w:space="0" w:color="auto"/>
            </w:tcBdr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E8407A"/>
                <w:sz w:val="14"/>
              </w:rPr>
              <w:t>HOW IT WORKS</w:t>
            </w:r>
          </w:p>
          <w:p>
            <w:pPr>
              <w:spacing w:before="20" w:after="80"/>
              <w:ind w:left="72"/>
            </w:pPr>
            <w:r>
              <w:rPr>
                <w:rFonts w:ascii="Calibri" w:hAnsi="Calibri"/>
                <w:b w:val="0"/>
                <w:i w:val="0"/>
                <w:color w:val="555566"/>
                <w:sz w:val="15"/>
              </w:rPr>
              <w:t>Stack: Node.js/Express · PostgreSQL · Anthropic Claude Sonnet 4.6 · SSE streaming. Pattern: multi-stage RAG pipeline. Flow: PostgreSQL full-text search returns ≤30 KB candidates → Claude Haiku 4.5 filters to 8 most relevant → rated-example retrieval (30+ positive / 15 negative from response history) → Haiku topic-filters to 8+5 → corrections pipeline (all negative-rated with staff feedback → Haiku → ≤5 highest-priority overrides) → server-side system prompt assembly → Sonnet 4.6 with Anthropic Prompt Caching (ephemeral) → SSE stream to client.</w:t>
            </w:r>
          </w:p>
        </w:tc>
        <w:tc>
          <w:tcPr>
            <w:tcW w:type="dxa" w:w="5112"/>
            <w:shd w:val="clear" w:color="auto" w:fill="FFF8F0"/>
            <w:tcBdr>
              <w:top w:val="single" w:sz="4" w:space="0" w:color="E8407A"/>
              <w:bottom w:val="nil" w:sz="4" w:space="0" w:color="auto"/>
              <w:left w:val="nil" w:sz="4" w:space="0" w:color="auto"/>
              <w:right w:val="nil" w:sz="4" w:space="0" w:color="auto"/>
            </w:tcBdr>
          </w:tcPr>
          <w:p>
            <w:pPr>
              <w:spacing w:before="80" w:after="20"/>
            </w:pPr>
            <w:r>
              <w:rPr>
                <w:rFonts w:ascii="Calibri" w:hAnsi="Calibri"/>
                <w:b/>
                <w:i w:val="0"/>
                <w:color w:val="F06850"/>
                <w:sz w:val="14"/>
              </w:rPr>
              <w:t>KEY FEATURES</w:t>
            </w:r>
          </w:p>
          <w:p>
            <w:pPr>
              <w:spacing w:before="0" w:after="20"/>
              <w:ind w:left="144"/>
            </w:pPr>
            <w:r>
              <w:rPr>
                <w:rFonts w:ascii="Calibri" w:hAnsi="Calibri"/>
                <w:b w:val="0"/>
                <w:i w:val="0"/>
                <w:color w:val="1A1A2E"/>
                <w:sz w:val="15"/>
              </w:rPr>
              <w:t>→  Three-tier RAG: KB entries, few-shot rated examples, staff correction overrides</w:t>
            </w:r>
          </w:p>
          <w:p>
            <w:pPr>
              <w:spacing w:before="0" w:after="20"/>
              <w:ind w:left="144"/>
            </w:pPr>
            <w:r>
              <w:rPr>
                <w:rFonts w:ascii="Calibri" w:hAnsi="Calibri"/>
                <w:b w:val="0"/>
                <w:i w:val="0"/>
                <w:color w:val="1A1A2E"/>
                <w:sz w:val="15"/>
              </w:rPr>
              <w:t>→  Anthropic Prompt Caching — reduces latency and token cost on repeated org context</w:t>
            </w:r>
          </w:p>
          <w:p>
            <w:pPr>
              <w:spacing w:before="0" w:after="20"/>
              <w:ind w:left="144"/>
            </w:pPr>
            <w:r>
              <w:rPr>
                <w:rFonts w:ascii="Calibri" w:hAnsi="Calibri"/>
                <w:b w:val="0"/>
                <w:i w:val="0"/>
                <w:color w:val="1A1A2E"/>
                <w:sz w:val="15"/>
              </w:rPr>
              <w:t>→  Server-side prompt assembly — prompt never exposed in browser DevTools</w:t>
            </w:r>
          </w:p>
          <w:p>
            <w:pPr>
              <w:spacing w:before="0" w:after="20"/>
              <w:ind w:left="144"/>
            </w:pPr>
            <w:r>
              <w:rPr>
                <w:rFonts w:ascii="Calibri" w:hAnsi="Calibri"/>
                <w:b w:val="0"/>
                <w:i w:val="0"/>
                <w:color w:val="1A1A2E"/>
                <w:sz w:val="15"/>
              </w:rPr>
              <w:t>→  Prompt-injection sanitisation with XML-wrapped user content</w:t>
            </w:r>
          </w:p>
          <w:p>
            <w:pPr>
              <w:spacing w:before="0" w:after="20"/>
              <w:ind w:left="144"/>
            </w:pPr>
            <w:r>
              <w:rPr>
                <w:rFonts w:ascii="Calibri" w:hAnsi="Calibri"/>
                <w:b w:val="0"/>
                <w:i w:val="0"/>
                <w:color w:val="1A1A2E"/>
                <w:sz w:val="15"/>
              </w:rPr>
              <w:t>→  Real-time streaming with KB citation attribution</w:t>
            </w:r>
          </w:p>
          <w:p>
            <w:pPr>
              <w:spacing w:before="0" w:after="20"/>
              <w:ind w:left="144"/>
            </w:pPr>
            <w:r>
              <w:rPr>
                <w:rFonts w:ascii="Calibri" w:hAnsi="Calibri"/>
                <w:b w:val="0"/>
                <w:i w:val="0"/>
                <w:color w:val="1A1A2E"/>
                <w:sz w:val="15"/>
              </w:rPr>
              <w:t>→  Thumbs-up/down rating → auto-creates correction KB entries for future calls</w:t>
            </w:r>
          </w:p>
          <w:p>
            <w:pPr>
              <w:spacing w:before="0" w:after="20"/>
              <w:ind w:left="144"/>
            </w:pPr>
            <w:r>
              <w:rPr>
                <w:rFonts w:ascii="Calibri" w:hAnsi="Calibri"/>
                <w:b w:val="0"/>
                <w:i w:val="0"/>
                <w:color w:val="1A1A2E"/>
                <w:sz w:val="15"/>
              </w:rPr>
              <w:t>→  Per-format token budgets (200 for Facebook, 1024 for email)</w:t>
            </w:r>
          </w:p>
          <w:p>
            <w:pPr>
              <w:spacing w:before="60" w:after="80"/>
              <w:ind w:left="72"/>
            </w:pPr>
            <w:r>
              <w:rPr>
                <w:rFonts w:ascii="Calibri" w:hAnsi="Calibri"/>
                <w:b/>
                <w:i w:val="0"/>
                <w:color w:val="F5A623"/>
                <w:sz w:val="14"/>
              </w:rPr>
              <w:t xml:space="preserve">IP NOTE  </w:t>
            </w:r>
            <w:r>
              <w:rPr>
                <w:rFonts w:ascii="Calibri" w:hAnsi="Calibri"/>
                <w:b w:val="0"/>
                <w:i/>
                <w:color w:val="555566"/>
                <w:sz w:val="15"/>
              </w:rPr>
              <w:t>The tiered corrections pipeline — treating negatively-rated responses with staff feedback as highest-priority in-context overrides — is a proprietary refinement loop that continuously improves output quality without fine-tuning or retraining.</w:t>
            </w:r>
          </w:p>
        </w:tc>
      </w:tr>
    </w:tbl>
    <w:p>
      <w:pPr>
        <w:spacing w:before="80" w:after="80"/>
        <w:pBdr>
          <w:top w:val="single" w:sz="4" w:space="1" w:color="E8D0D8"/>
        </w:pBdr>
      </w:pPr>
    </w:p>
    <w:p>
      <w:pPr>
        <w:spacing w:before="100" w:after="20"/>
      </w:pPr>
      <w:r>
        <w:rPr>
          <w:rFonts w:ascii="Calibri" w:hAnsi="Calibri"/>
          <w:b/>
          <w:i w:val="0"/>
          <w:color w:val="F06850"/>
          <w:sz w:val="18"/>
        </w:rPr>
        <w:t xml:space="preserve">  02  </w:t>
      </w:r>
      <w:r>
        <w:rPr>
          <w:rFonts w:ascii="Calibri" w:hAnsi="Calibri"/>
          <w:b/>
          <w:i w:val="0"/>
          <w:color w:val="1A1A2E"/>
          <w:sz w:val="21"/>
        </w:rPr>
        <w:t>DRAFT ASSISTANT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1A1A2E"/>
          <w:sz w:val="17"/>
        </w:rPr>
        <w:t>Content generation tool for marketing emails, social posts, donation appeals, and event announcements. Produces brand-consistent copy informed by the organisation's internal knowledge base and optional Shopify product catalogue.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tcW/>
            <w:shd w:val="clear" w:color="auto" w:fill="FAF4F7"/>
            <w:tcBdr>
              <w:top w:val="single" w:sz="4" w:space="0" w:color="E8407A"/>
              <w:bottom w:val="nil" w:sz="4" w:space="0" w:color="auto"/>
              <w:left w:val="nil" w:sz="4" w:space="0" w:color="auto"/>
              <w:right w:val="nil" w:sz="4" w:space="0" w:color="auto"/>
            </w:tcBdr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E8407A"/>
                <w:sz w:val="14"/>
              </w:rPr>
              <w:t>HOW IT WORKS</w:t>
            </w:r>
          </w:p>
          <w:p>
            <w:pPr>
              <w:spacing w:before="20" w:after="80"/>
              <w:ind w:left="72"/>
            </w:pPr>
            <w:r>
              <w:rPr>
                <w:rFonts w:ascii="Calibri" w:hAnsi="Calibri"/>
                <w:b w:val="0"/>
                <w:i w:val="0"/>
                <w:color w:val="555566"/>
                <w:sz w:val="15"/>
              </w:rPr>
              <w:t>Stack: Node.js/Express · PostgreSQL · Anthropic Claude Sonnet 4.6 · Shopify API (optional). Pattern: prompt augmentation with internal KB and e-commerce context. Flow: brand voice fetched from org profile → all internal KB entries retrieved (kb_type='internal') → Haiku relevance-filters to 8 entries → optional Shopify product catalogue (≤15 products with name/price/description) injected → non-streaming Claude Sonnet call returns complete draft.</w:t>
            </w:r>
          </w:p>
        </w:tc>
        <w:tc>
          <w:tcPr>
            <w:tcW w:type="dxa" w:w="5112"/>
            <w:shd w:val="clear" w:color="auto" w:fill="FFF8F0"/>
            <w:tcBdr>
              <w:top w:val="single" w:sz="4" w:space="0" w:color="E8407A"/>
              <w:bottom w:val="nil" w:sz="4" w:space="0" w:color="auto"/>
              <w:left w:val="nil" w:sz="4" w:space="0" w:color="auto"/>
              <w:right w:val="nil" w:sz="4" w:space="0" w:color="auto"/>
            </w:tcBdr>
          </w:tcPr>
          <w:p>
            <w:pPr>
              <w:spacing w:before="80" w:after="20"/>
            </w:pPr>
            <w:r>
              <w:rPr>
                <w:rFonts w:ascii="Calibri" w:hAnsi="Calibri"/>
                <w:b/>
                <w:i w:val="0"/>
                <w:color w:val="F06850"/>
                <w:sz w:val="14"/>
              </w:rPr>
              <w:t>KEY FEATURES</w:t>
            </w:r>
          </w:p>
          <w:p>
            <w:pPr>
              <w:spacing w:before="0" w:after="20"/>
              <w:ind w:left="144"/>
            </w:pPr>
            <w:r>
              <w:rPr>
                <w:rFonts w:ascii="Calibri" w:hAnsi="Calibri"/>
                <w:b w:val="0"/>
                <w:i w:val="0"/>
                <w:color w:val="1A1A2E"/>
                <w:sz w:val="15"/>
              </w:rPr>
              <w:t>→  Internal-only KB separation (kb_type='internal') keeps operational data out of support responses</w:t>
            </w:r>
          </w:p>
          <w:p>
            <w:pPr>
              <w:spacing w:before="0" w:after="20"/>
              <w:ind w:left="144"/>
            </w:pPr>
            <w:r>
              <w:rPr>
                <w:rFonts w:ascii="Calibri" w:hAnsi="Calibri"/>
                <w:b w:val="0"/>
                <w:i w:val="0"/>
                <w:color w:val="1A1A2E"/>
                <w:sz w:val="15"/>
              </w:rPr>
              <w:t>→  Shopify product context injection for e-commerce marketing copy</w:t>
            </w:r>
          </w:p>
          <w:p>
            <w:pPr>
              <w:spacing w:before="0" w:after="20"/>
              <w:ind w:left="144"/>
            </w:pPr>
            <w:r>
              <w:rPr>
                <w:rFonts w:ascii="Calibri" w:hAnsi="Calibri"/>
                <w:b w:val="0"/>
                <w:i w:val="0"/>
                <w:color w:val="1A1A2E"/>
                <w:sz w:val="15"/>
              </w:rPr>
              <w:t>→  Configurable tone (warm/professional/casual) and length (short/medium/long)</w:t>
            </w:r>
          </w:p>
          <w:p>
            <w:pPr>
              <w:spacing w:before="0" w:after="20"/>
              <w:ind w:left="144"/>
            </w:pPr>
            <w:r>
              <w:rPr>
                <w:rFonts w:ascii="Calibri" w:hAnsi="Calibri"/>
                <w:b w:val="0"/>
                <w:i w:val="0"/>
                <w:color w:val="1A1A2E"/>
                <w:sz w:val="15"/>
              </w:rPr>
              <w:t>→  Draft types: email, social post, announcement, or freeform</w:t>
            </w:r>
          </w:p>
          <w:p>
            <w:pPr>
              <w:spacing w:before="60" w:after="80"/>
              <w:ind w:left="72"/>
            </w:pPr>
            <w:r>
              <w:rPr>
                <w:rFonts w:ascii="Calibri" w:hAnsi="Calibri"/>
                <w:b/>
                <w:i w:val="0"/>
                <w:color w:val="F5A623"/>
                <w:sz w:val="14"/>
              </w:rPr>
              <w:t xml:space="preserve">IP NOTE  </w:t>
            </w:r>
            <w:r>
              <w:rPr>
                <w:rFonts w:ascii="Calibri" w:hAnsi="Calibri"/>
                <w:b w:val="0"/>
                <w:i/>
                <w:color w:val="555566"/>
                <w:sz w:val="15"/>
              </w:rPr>
              <w:t>KB-type partitioning (support vs. internal) lets the same knowledge store power two distinct tools with zero cross-contamination — a deliberate architectural separation with IP value in the multi-tool SaaS model.</w:t>
            </w:r>
          </w:p>
        </w:tc>
      </w:tr>
    </w:tbl>
    <w:p>
      <w:pPr>
        <w:spacing w:before="80" w:after="80"/>
        <w:pBdr>
          <w:top w:val="single" w:sz="4" w:space="1" w:color="E8D0D8"/>
        </w:pBdr>
      </w:pPr>
    </w:p>
    <w:p>
      <w:pPr>
        <w:spacing w:before="100" w:after="20"/>
      </w:pPr>
      <w:r>
        <w:rPr>
          <w:rFonts w:ascii="Calibri" w:hAnsi="Calibri"/>
          <w:b/>
          <w:i w:val="0"/>
          <w:color w:val="F06850"/>
          <w:sz w:val="18"/>
        </w:rPr>
        <w:t xml:space="preserve">  03  </w:t>
      </w:r>
      <w:r>
        <w:rPr>
          <w:rFonts w:ascii="Calibri" w:hAnsi="Calibri"/>
          <w:b/>
          <w:i w:val="0"/>
          <w:color w:val="1A1A2E"/>
          <w:sz w:val="21"/>
        </w:rPr>
        <w:t>ASK LIGHTSPEED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1A1A2E"/>
          <w:sz w:val="17"/>
        </w:rPr>
        <w:t>Full general-purpose AI chat assistant embedded in the platform — the organisation's own Claude. Supports multi-turn conversation, file analysis, model selection, and a Teach Mode that captures organisational knowledge directly into the shared KB.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tcW/>
            <w:shd w:val="clear" w:color="auto" w:fill="FAF4F7"/>
            <w:tcBdr>
              <w:top w:val="single" w:sz="4" w:space="0" w:color="E8407A"/>
              <w:bottom w:val="nil" w:sz="4" w:space="0" w:color="auto"/>
              <w:left w:val="nil" w:sz="4" w:space="0" w:color="auto"/>
              <w:right w:val="nil" w:sz="4" w:space="0" w:color="auto"/>
            </w:tcBdr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E8407A"/>
                <w:sz w:val="14"/>
              </w:rPr>
              <w:t>HOW IT WORKS</w:t>
            </w:r>
          </w:p>
          <w:p>
            <w:pPr>
              <w:spacing w:before="20" w:after="80"/>
              <w:ind w:left="72"/>
            </w:pPr>
            <w:r>
              <w:rPr>
                <w:rFonts w:ascii="Calibri" w:hAnsi="Calibri"/>
                <w:b w:val="0"/>
                <w:i w:val="0"/>
                <w:color w:val="555566"/>
                <w:sz w:val="15"/>
              </w:rPr>
              <w:t>Stack: Node.js/Express · PostgreSQL (JSONB message store) · Anthropic Claude Sonnet/Opus 4.6 · Haiku 4.5 (titles, summarisation) · SSE streaming. Pattern: stateful multi-turn conversation with dynamic context compression. Flow: full conversation history maintained in JSONB → when thread grows long, Haiku summarises all but the last 6 messages → draw schedule + rated examples injected into system prompt → user message (text or vision blocks) appended → Sonnet or Opus streams response → Teach Mode detection triggers optional KB write → turn saved to response_history for cross-tool few-shot use.</w:t>
            </w:r>
          </w:p>
        </w:tc>
        <w:tc>
          <w:tcPr>
            <w:tcW w:type="dxa" w:w="5112"/>
            <w:shd w:val="clear" w:color="auto" w:fill="FFF8F0"/>
            <w:tcBdr>
              <w:top w:val="single" w:sz="4" w:space="0" w:color="E8407A"/>
              <w:bottom w:val="nil" w:sz="4" w:space="0" w:color="auto"/>
              <w:left w:val="nil" w:sz="4" w:space="0" w:color="auto"/>
              <w:right w:val="nil" w:sz="4" w:space="0" w:color="auto"/>
            </w:tcBdr>
          </w:tcPr>
          <w:p>
            <w:pPr>
              <w:spacing w:before="80" w:after="20"/>
            </w:pPr>
            <w:r>
              <w:rPr>
                <w:rFonts w:ascii="Calibri" w:hAnsi="Calibri"/>
                <w:b/>
                <w:i w:val="0"/>
                <w:color w:val="F06850"/>
                <w:sz w:val="14"/>
              </w:rPr>
              <w:t>KEY FEATURES</w:t>
            </w:r>
          </w:p>
          <w:p>
            <w:pPr>
              <w:spacing w:before="0" w:after="20"/>
              <w:ind w:left="144"/>
            </w:pPr>
            <w:r>
              <w:rPr>
                <w:rFonts w:ascii="Calibri" w:hAnsi="Calibri"/>
                <w:b w:val="0"/>
                <w:i w:val="0"/>
                <w:color w:val="1A1A2E"/>
                <w:sz w:val="15"/>
              </w:rPr>
              <w:t>→  Model switchable per-session: Sonnet 4.6 (default) or Opus 4.6</w:t>
            </w:r>
          </w:p>
          <w:p>
            <w:pPr>
              <w:spacing w:before="0" w:after="20"/>
              <w:ind w:left="144"/>
            </w:pPr>
            <w:r>
              <w:rPr>
                <w:rFonts w:ascii="Calibri" w:hAnsi="Calibri"/>
                <w:b w:val="0"/>
                <w:i w:val="0"/>
                <w:color w:val="1A1A2E"/>
                <w:sz w:val="15"/>
              </w:rPr>
              <w:t>→  Automatic conversation summarisation keeps token count within model limits</w:t>
            </w:r>
          </w:p>
          <w:p>
            <w:pPr>
              <w:spacing w:before="0" w:after="20"/>
              <w:ind w:left="144"/>
            </w:pPr>
            <w:r>
              <w:rPr>
                <w:rFonts w:ascii="Calibri" w:hAnsi="Calibri"/>
                <w:b w:val="0"/>
                <w:i w:val="0"/>
                <w:color w:val="1A1A2E"/>
                <w:sz w:val="15"/>
              </w:rPr>
              <w:t>→  File uploads: images (vision), PDFs, and text with inline rendering</w:t>
            </w:r>
          </w:p>
          <w:p>
            <w:pPr>
              <w:spacing w:before="0" w:after="20"/>
              <w:ind w:left="144"/>
            </w:pPr>
            <w:r>
              <w:rPr>
                <w:rFonts w:ascii="Calibri" w:hAnsi="Calibri"/>
                <w:b w:val="0"/>
                <w:i w:val="0"/>
                <w:color w:val="1A1A2E"/>
                <w:sz w:val="15"/>
              </w:rPr>
              <w:t>→  Teach Mode: NLP pattern detection auto-offers KB save; no admin UI required</w:t>
            </w:r>
          </w:p>
          <w:p>
            <w:pPr>
              <w:spacing w:before="0" w:after="20"/>
              <w:ind w:left="144"/>
            </w:pPr>
            <w:r>
              <w:rPr>
                <w:rFonts w:ascii="Calibri" w:hAnsi="Calibri"/>
                <w:b w:val="0"/>
                <w:i w:val="0"/>
                <w:color w:val="1A1A2E"/>
                <w:sz w:val="15"/>
              </w:rPr>
              <w:t>→  Team view: colleagues' conversations visible within org scope</w:t>
            </w:r>
          </w:p>
          <w:p>
            <w:pPr>
              <w:spacing w:before="0" w:after="20"/>
              <w:ind w:left="144"/>
            </w:pPr>
            <w:r>
              <w:rPr>
                <w:rFonts w:ascii="Calibri" w:hAnsi="Calibri"/>
                <w:b w:val="0"/>
                <w:i w:val="0"/>
                <w:color w:val="1A1A2E"/>
                <w:sz w:val="15"/>
              </w:rPr>
              <w:t>→  Conversation search, archiving, and shareable prompt library</w:t>
            </w:r>
          </w:p>
          <w:p>
            <w:pPr>
              <w:spacing w:before="60" w:after="80"/>
              <w:ind w:left="72"/>
            </w:pPr>
            <w:r>
              <w:rPr>
                <w:rFonts w:ascii="Calibri" w:hAnsi="Calibri"/>
                <w:b/>
                <w:i w:val="0"/>
                <w:color w:val="F5A623"/>
                <w:sz w:val="14"/>
              </w:rPr>
              <w:t xml:space="preserve">IP NOTE  </w:t>
            </w:r>
            <w:r>
              <w:rPr>
                <w:rFonts w:ascii="Calibri" w:hAnsi="Calibri"/>
                <w:b w:val="0"/>
                <w:i/>
                <w:color w:val="555566"/>
                <w:sz w:val="15"/>
              </w:rPr>
              <w:t>Teach Mode — detecting natural-language knowledge declarations and routing them into the shared KB — creates a passive, conversation-driven knowledge accumulation loop that improves all tools over time without explicit data-entry workflows.</w:t>
            </w:r>
          </w:p>
        </w:tc>
      </w:tr>
    </w:tbl>
    <w:p>
      <w:pPr>
        <w:spacing w:before="80" w:after="80"/>
        <w:pBdr>
          <w:top w:val="single" w:sz="4" w:space="1" w:color="E8D0D8"/>
        </w:pBdr>
      </w:pPr>
    </w:p>
    <w:p>
      <w:pPr>
        <w:spacing w:before="100" w:after="20"/>
      </w:pPr>
      <w:r>
        <w:rPr>
          <w:rFonts w:ascii="Calibri" w:hAnsi="Calibri"/>
          <w:b/>
          <w:i w:val="0"/>
          <w:color w:val="F06850"/>
          <w:sz w:val="18"/>
        </w:rPr>
        <w:t xml:space="preserve">  04  </w:t>
      </w:r>
      <w:r>
        <w:rPr>
          <w:rFonts w:ascii="Calibri" w:hAnsi="Calibri"/>
          <w:b/>
          <w:i w:val="0"/>
          <w:color w:val="1A1A2E"/>
          <w:sz w:val="21"/>
        </w:rPr>
        <w:t>INSIGHTS ENGINE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1A1A2E"/>
          <w:sz w:val="17"/>
        </w:rPr>
        <w:t>Data analysis tool that accepts uploaded spreadsheets (CSV/Excel/JSON) or pulls live Shopify analytics, then returns structured business insights, trend analysis, and actionable recommendations.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tcW/>
            <w:shd w:val="clear" w:color="auto" w:fill="FAF4F7"/>
            <w:tcBdr>
              <w:top w:val="single" w:sz="4" w:space="0" w:color="E8407A"/>
              <w:bottom w:val="nil" w:sz="4" w:space="0" w:color="auto"/>
              <w:left w:val="nil" w:sz="4" w:space="0" w:color="auto"/>
              <w:right w:val="nil" w:sz="4" w:space="0" w:color="auto"/>
            </w:tcBdr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E8407A"/>
                <w:sz w:val="14"/>
              </w:rPr>
              <w:t>HOW IT WORKS</w:t>
            </w:r>
          </w:p>
          <w:p>
            <w:pPr>
              <w:spacing w:before="20" w:after="80"/>
              <w:ind w:left="72"/>
            </w:pPr>
            <w:r>
              <w:rPr>
                <w:rFonts w:ascii="Calibri" w:hAnsi="Calibri"/>
                <w:b w:val="0"/>
                <w:i w:val="0"/>
                <w:color w:val="555566"/>
                <w:sz w:val="15"/>
              </w:rPr>
              <w:t>Stack: Node.js/Express · PostgreSQL · Anthropic Claude Sonnet 4.6 · Shopify API (optional). Pattern: report-type-driven prompt templates with full data injection. Flow: report type selected (customer purchases / sellers / payment tickets / Shopify / custom) → corresponding prompt template chosen server-side → organisation brand voice optionally prepended → full data JSON-stringified into the user message → single non-streaming Sonnet call returns structured analysis. Shopify path fetches live store data directly without requiring file upload.</w:t>
            </w:r>
          </w:p>
        </w:tc>
        <w:tc>
          <w:tcPr>
            <w:tcW w:type="dxa" w:w="5112"/>
            <w:shd w:val="clear" w:color="auto" w:fill="FFF8F0"/>
            <w:tcBdr>
              <w:top w:val="single" w:sz="4" w:space="0" w:color="E8407A"/>
              <w:bottom w:val="nil" w:sz="4" w:space="0" w:color="auto"/>
              <w:left w:val="nil" w:sz="4" w:space="0" w:color="auto"/>
              <w:right w:val="nil" w:sz="4" w:space="0" w:color="auto"/>
            </w:tcBdr>
          </w:tcPr>
          <w:p>
            <w:pPr>
              <w:spacing w:before="80" w:after="20"/>
            </w:pPr>
            <w:r>
              <w:rPr>
                <w:rFonts w:ascii="Calibri" w:hAnsi="Calibri"/>
                <w:b/>
                <w:i w:val="0"/>
                <w:color w:val="F06850"/>
                <w:sz w:val="14"/>
              </w:rPr>
              <w:t>KEY FEATURES</w:t>
            </w:r>
          </w:p>
          <w:p>
            <w:pPr>
              <w:spacing w:before="0" w:after="20"/>
              <w:ind w:left="144"/>
            </w:pPr>
            <w:r>
              <w:rPr>
                <w:rFonts w:ascii="Calibri" w:hAnsi="Calibri"/>
                <w:b w:val="0"/>
                <w:i w:val="0"/>
                <w:color w:val="1A1A2E"/>
                <w:sz w:val="15"/>
              </w:rPr>
              <w:t>→  Five report-type prompt templates targeting nonprofit lottery use cases</w:t>
            </w:r>
          </w:p>
          <w:p>
            <w:pPr>
              <w:spacing w:before="0" w:after="20"/>
              <w:ind w:left="144"/>
            </w:pPr>
            <w:r>
              <w:rPr>
                <w:rFonts w:ascii="Calibri" w:hAnsi="Calibri"/>
                <w:b w:val="0"/>
                <w:i w:val="0"/>
                <w:color w:val="1A1A2E"/>
                <w:sz w:val="15"/>
              </w:rPr>
              <w:t>→  Direct Shopify analytics pull (no file export required)</w:t>
            </w:r>
          </w:p>
          <w:p>
            <w:pPr>
              <w:spacing w:before="0" w:after="20"/>
              <w:ind w:left="144"/>
            </w:pPr>
            <w:r>
              <w:rPr>
                <w:rFonts w:ascii="Calibri" w:hAnsi="Calibri"/>
                <w:b w:val="0"/>
                <w:i w:val="0"/>
                <w:color w:val="1A1A2E"/>
                <w:sz w:val="15"/>
              </w:rPr>
              <w:t>→  Structured output: key metrics, trend identification, ranked recommendations</w:t>
            </w:r>
          </w:p>
          <w:p>
            <w:pPr>
              <w:spacing w:before="0" w:after="20"/>
              <w:ind w:left="144"/>
            </w:pPr>
            <w:r>
              <w:rPr>
                <w:rFonts w:ascii="Calibri" w:hAnsi="Calibri"/>
                <w:b w:val="0"/>
                <w:i w:val="0"/>
                <w:color w:val="1A1A2E"/>
                <w:sz w:val="15"/>
              </w:rPr>
              <w:t>→  Brand-voice-aware narrative framing</w:t>
            </w:r>
          </w:p>
          <w:p>
            <w:pPr>
              <w:spacing w:before="60" w:after="80"/>
              <w:ind w:left="72"/>
            </w:pPr>
            <w:r>
              <w:rPr>
                <w:rFonts w:ascii="Calibri" w:hAnsi="Calibri"/>
                <w:b/>
                <w:i w:val="0"/>
                <w:color w:val="F5A623"/>
                <w:sz w:val="14"/>
              </w:rPr>
              <w:t xml:space="preserve">IP NOTE  </w:t>
            </w:r>
            <w:r>
              <w:rPr>
                <w:rFonts w:ascii="Calibri" w:hAnsi="Calibri"/>
                <w:b w:val="0"/>
                <w:i/>
                <w:color w:val="555566"/>
                <w:sz w:val="15"/>
              </w:rPr>
              <w:t>Template-switched prompt architecture maps cleanly to the domain model (nonprofit lottery operations) — easily extensible to new report types without infrastructure changes.</w:t>
            </w:r>
          </w:p>
        </w:tc>
      </w:tr>
    </w:tbl>
    <w:p>
      <w:pPr>
        <w:spacing w:before="80" w:after="80"/>
        <w:pBdr>
          <w:top w:val="single" w:sz="4" w:space="1" w:color="E8D0D8"/>
        </w:pBdr>
      </w:pPr>
    </w:p>
    <w:p>
      <w:pPr>
        <w:spacing w:before="100" w:after="20"/>
      </w:pPr>
      <w:r>
        <w:rPr>
          <w:rFonts w:ascii="Calibri" w:hAnsi="Calibri"/>
          <w:b/>
          <w:i w:val="0"/>
          <w:color w:val="F06850"/>
          <w:sz w:val="18"/>
        </w:rPr>
        <w:t xml:space="preserve">  05  </w:t>
      </w:r>
      <w:r>
        <w:rPr>
          <w:rFonts w:ascii="Calibri" w:hAnsi="Calibri"/>
          <w:b/>
          <w:i w:val="0"/>
          <w:color w:val="1A1A2E"/>
          <w:sz w:val="21"/>
        </w:rPr>
        <w:t>LIST NORMALIZER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1A1A2E"/>
          <w:sz w:val="17"/>
        </w:rPr>
        <w:t>Spreadsheet cleaning and transformation tool. Users upload or paste data and describe their transformation in plain English; the tool cleans, deduplicates, and optionally generates executable JavaScript to run the transformation client-side.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tcW/>
            <w:shd w:val="clear" w:color="auto" w:fill="FAF4F7"/>
            <w:tcBdr>
              <w:top w:val="single" w:sz="4" w:space="0" w:color="E8407A"/>
              <w:bottom w:val="nil" w:sz="4" w:space="0" w:color="auto"/>
              <w:left w:val="nil" w:sz="4" w:space="0" w:color="auto"/>
              <w:right w:val="nil" w:sz="4" w:space="0" w:color="auto"/>
            </w:tcBdr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E8407A"/>
                <w:sz w:val="14"/>
              </w:rPr>
              <w:t>HOW IT WORKS</w:t>
            </w:r>
          </w:p>
          <w:p>
            <w:pPr>
              <w:spacing w:before="20" w:after="80"/>
              <w:ind w:left="72"/>
            </w:pPr>
            <w:r>
              <w:rPr>
                <w:rFonts w:ascii="Calibri" w:hAnsi="Calibri"/>
                <w:b w:val="0"/>
                <w:i w:val="0"/>
                <w:color w:val="555566"/>
                <w:sz w:val="15"/>
              </w:rPr>
              <w:t>Stack: Node.js/Express · Anthropic Claude Sonnet 4.6 · browser JS runtime. Pattern: code generation with client-side execution sandbox. Flow: data + natural-language instructions sent to Sonnet → in Transform Mode, model returns only a raw JS function body (no markdown, no imports, no async) → frontend wraps it in new Function() and executes against every row in-browser → deduplication applied → CSV exported → usage logged separately (no tokens charged for client-side execution). JSON Mode returns transformed array directly. No data leaves the browser after the initial Claude call.</w:t>
            </w:r>
          </w:p>
        </w:tc>
        <w:tc>
          <w:tcPr>
            <w:tcW w:type="dxa" w:w="5112"/>
            <w:shd w:val="clear" w:color="auto" w:fill="FFF8F0"/>
            <w:tcBdr>
              <w:top w:val="single" w:sz="4" w:space="0" w:color="E8407A"/>
              <w:bottom w:val="nil" w:sz="4" w:space="0" w:color="auto"/>
              <w:left w:val="nil" w:sz="4" w:space="0" w:color="auto"/>
              <w:right w:val="nil" w:sz="4" w:space="0" w:color="auto"/>
            </w:tcBdr>
          </w:tcPr>
          <w:p>
            <w:pPr>
              <w:spacing w:before="80" w:after="20"/>
            </w:pPr>
            <w:r>
              <w:rPr>
                <w:rFonts w:ascii="Calibri" w:hAnsi="Calibri"/>
                <w:b/>
                <w:i w:val="0"/>
                <w:color w:val="F06850"/>
                <w:sz w:val="14"/>
              </w:rPr>
              <w:t>KEY FEATURES</w:t>
            </w:r>
          </w:p>
          <w:p>
            <w:pPr>
              <w:spacing w:before="0" w:after="20"/>
              <w:ind w:left="144"/>
            </w:pPr>
            <w:r>
              <w:rPr>
                <w:rFonts w:ascii="Calibri" w:hAnsi="Calibri"/>
                <w:b w:val="0"/>
                <w:i w:val="0"/>
                <w:color w:val="1A1A2E"/>
                <w:sz w:val="15"/>
              </w:rPr>
              <w:t>→  Transform Mode: AI-generated JS function runs client-side — no second server round-trip</w:t>
            </w:r>
          </w:p>
          <w:p>
            <w:pPr>
              <w:spacing w:before="0" w:after="20"/>
              <w:ind w:left="144"/>
            </w:pPr>
            <w:r>
              <w:rPr>
                <w:rFonts w:ascii="Calibri" w:hAnsi="Calibri"/>
                <w:b w:val="0"/>
                <w:i w:val="0"/>
                <w:color w:val="1A1A2E"/>
                <w:sz w:val="15"/>
              </w:rPr>
              <w:t>→  JSON Mode: direct structured output for programmatic downstream use</w:t>
            </w:r>
          </w:p>
          <w:p>
            <w:pPr>
              <w:spacing w:before="0" w:after="20"/>
              <w:ind w:left="144"/>
            </w:pPr>
            <w:r>
              <w:rPr>
                <w:rFonts w:ascii="Calibri" w:hAnsi="Calibri"/>
                <w:b w:val="0"/>
                <w:i w:val="0"/>
                <w:color w:val="1A1A2E"/>
                <w:sz w:val="15"/>
              </w:rPr>
              <w:t>→  Deduplication handled separately from transformation logic</w:t>
            </w:r>
          </w:p>
          <w:p>
            <w:pPr>
              <w:spacing w:before="0" w:after="20"/>
              <w:ind w:left="144"/>
            </w:pPr>
            <w:r>
              <w:rPr>
                <w:rFonts w:ascii="Calibri" w:hAnsi="Calibri"/>
                <w:b w:val="0"/>
                <w:i w:val="0"/>
                <w:color w:val="1A1A2E"/>
                <w:sz w:val="15"/>
              </w:rPr>
              <w:t>→  Usage split: tokens charged once for generation; client-side execution billed at zero</w:t>
            </w:r>
          </w:p>
          <w:p>
            <w:pPr>
              <w:spacing w:before="0" w:after="20"/>
              <w:ind w:left="144"/>
            </w:pPr>
            <w:r>
              <w:rPr>
                <w:rFonts w:ascii="Calibri" w:hAnsi="Calibri"/>
                <w:b w:val="0"/>
                <w:i w:val="0"/>
                <w:color w:val="1A1A2E"/>
                <w:sz w:val="15"/>
              </w:rPr>
              <w:t>→  Strict output contract enforced via system prompt (function body only, plain JS)</w:t>
            </w:r>
          </w:p>
          <w:p>
            <w:pPr>
              <w:spacing w:before="60" w:after="80"/>
              <w:ind w:left="72"/>
            </w:pPr>
            <w:r>
              <w:rPr>
                <w:rFonts w:ascii="Calibri" w:hAnsi="Calibri"/>
                <w:b/>
                <w:i w:val="0"/>
                <w:color w:val="F5A623"/>
                <w:sz w:val="14"/>
              </w:rPr>
              <w:t xml:space="preserve">IP NOTE  </w:t>
            </w:r>
            <w:r>
              <w:rPr>
                <w:rFonts w:ascii="Calibri" w:hAnsi="Calibri"/>
                <w:b w:val="0"/>
                <w:i/>
                <w:color w:val="555566"/>
                <w:sz w:val="15"/>
              </w:rPr>
              <w:t>Offloading row-by-row execution to the browser after a single AI function-generation call is a cost-efficient architecture that scales to large datasets without server-side compute or per-row API calls.</w:t>
            </w:r>
          </w:p>
        </w:tc>
      </w:tr>
    </w:tbl>
    <w:p>
      <w:pPr>
        <w:spacing w:before="80" w:after="80"/>
        <w:pBdr>
          <w:top w:val="single" w:sz="4" w:space="1" w:color="E8D0D8"/>
        </w:pBdr>
      </w:pPr>
    </w:p>
    <w:p>
      <w:pPr>
        <w:spacing w:before="100" w:after="20"/>
      </w:pPr>
      <w:r>
        <w:rPr>
          <w:rFonts w:ascii="Calibri" w:hAnsi="Calibri"/>
          <w:b/>
          <w:i w:val="0"/>
          <w:color w:val="F06850"/>
          <w:sz w:val="18"/>
        </w:rPr>
        <w:t xml:space="preserve">  06  </w:t>
      </w:r>
      <w:r>
        <w:rPr>
          <w:rFonts w:ascii="Calibri" w:hAnsi="Calibri"/>
          <w:b/>
          <w:i w:val="0"/>
          <w:color w:val="1A1A2E"/>
          <w:sz w:val="21"/>
        </w:rPr>
        <w:t>RULES OF PLAY GENERATOR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1A1A2E"/>
          <w:sz w:val="17"/>
        </w:rPr>
        <w:t>Legal document generator that produces complete, submission-ready Rules of Play for charitable lotteries (50/50, Catch The Ace, Prize Raffle, House Lottery) compliant with Canadian provincial gaming regulations.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tcW/>
            <w:shd w:val="clear" w:color="auto" w:fill="FAF4F7"/>
            <w:tcBdr>
              <w:top w:val="single" w:sz="4" w:space="0" w:color="E8407A"/>
              <w:bottom w:val="nil" w:sz="4" w:space="0" w:color="auto"/>
              <w:left w:val="nil" w:sz="4" w:space="0" w:color="auto"/>
              <w:right w:val="nil" w:sz="4" w:space="0" w:color="auto"/>
            </w:tcBdr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E8407A"/>
                <w:sz w:val="14"/>
              </w:rPr>
              <w:t>HOW IT WORKS</w:t>
            </w:r>
          </w:p>
          <w:p>
            <w:pPr>
              <w:spacing w:before="20" w:after="80"/>
              <w:ind w:left="72"/>
            </w:pPr>
            <w:r>
              <w:rPr>
                <w:rFonts w:ascii="Calibri" w:hAnsi="Calibri"/>
                <w:b w:val="0"/>
                <w:i w:val="0"/>
                <w:color w:val="555566"/>
                <w:sz w:val="15"/>
              </w:rPr>
              <w:t>Stack: Node.js/Express · PostgreSQL · Anthropic Claude Sonnet 4.6 · Mammoth.js (DOCX parsing). Pattern: layered static-context injection with optional reference document RAG. Flow: user selects raffle type → raffle-type template (TEMPLATE_5050 etc.) chosen from ropTemplates.js → jurisdiction row fetched from DB (regulatory body, minimum age, geographic restrictions, unclaimed prize rules) → form data (org name, licence number, draw schedule, pricing tiers, prize details) merged → optional uploaded reference document text extracted via Mammoth and appended → buildSystemPrompt() assembles all four layers → single Sonnet call returns complete legal document → saved to DB → exported as .doc (HTML-wrapped, Content-Type: application/msword).</w:t>
            </w:r>
          </w:p>
        </w:tc>
        <w:tc>
          <w:tcPr>
            <w:tcW w:type="dxa" w:w="5112"/>
            <w:shd w:val="clear" w:color="auto" w:fill="FFF8F0"/>
            <w:tcBdr>
              <w:top w:val="single" w:sz="4" w:space="0" w:color="E8407A"/>
              <w:bottom w:val="nil" w:sz="4" w:space="0" w:color="auto"/>
              <w:left w:val="nil" w:sz="4" w:space="0" w:color="auto"/>
              <w:right w:val="nil" w:sz="4" w:space="0" w:color="auto"/>
            </w:tcBdr>
          </w:tcPr>
          <w:p>
            <w:pPr>
              <w:spacing w:before="80" w:after="20"/>
            </w:pPr>
            <w:r>
              <w:rPr>
                <w:rFonts w:ascii="Calibri" w:hAnsi="Calibri"/>
                <w:b/>
                <w:i w:val="0"/>
                <w:color w:val="F06850"/>
                <w:sz w:val="14"/>
              </w:rPr>
              <w:t>KEY FEATURES</w:t>
            </w:r>
          </w:p>
          <w:p>
            <w:pPr>
              <w:spacing w:before="0" w:after="20"/>
              <w:ind w:left="144"/>
            </w:pPr>
            <w:r>
              <w:rPr>
                <w:rFonts w:ascii="Calibri" w:hAnsi="Calibri"/>
                <w:b w:val="0"/>
                <w:i w:val="0"/>
                <w:color w:val="1A1A2E"/>
                <w:sz w:val="15"/>
              </w:rPr>
              <w:t>→  Four raffle-type document templates covering all common Canadian charitable lottery formats</w:t>
            </w:r>
          </w:p>
          <w:p>
            <w:pPr>
              <w:spacing w:before="0" w:after="20"/>
              <w:ind w:left="144"/>
            </w:pPr>
            <w:r>
              <w:rPr>
                <w:rFonts w:ascii="Calibri" w:hAnsi="Calibri"/>
                <w:b w:val="0"/>
                <w:i w:val="0"/>
                <w:color w:val="1A1A2E"/>
                <w:sz w:val="15"/>
              </w:rPr>
              <w:t>→  Jurisdictions table stores regulatory data independently — adding a province requires no code change</w:t>
            </w:r>
          </w:p>
          <w:p>
            <w:pPr>
              <w:spacing w:before="0" w:after="20"/>
              <w:ind w:left="144"/>
            </w:pPr>
            <w:r>
              <w:rPr>
                <w:rFonts w:ascii="Calibri" w:hAnsi="Calibri"/>
                <w:b w:val="0"/>
                <w:i w:val="0"/>
                <w:color w:val="1A1A2E"/>
                <w:sz w:val="15"/>
              </w:rPr>
              <w:t>→  Reference document upload provides style/precedent guidance without hard-coding examples</w:t>
            </w:r>
          </w:p>
          <w:p>
            <w:pPr>
              <w:spacing w:before="0" w:after="20"/>
              <w:ind w:left="144"/>
            </w:pPr>
            <w:r>
              <w:rPr>
                <w:rFonts w:ascii="Calibri" w:hAnsi="Calibri"/>
                <w:b w:val="0"/>
                <w:i w:val="0"/>
                <w:color w:val="1A1A2E"/>
                <w:sz w:val="15"/>
              </w:rPr>
              <w:t>→  Draft persistence: create, edit, regenerate, delete with full audit trail</w:t>
            </w:r>
          </w:p>
          <w:p>
            <w:pPr>
              <w:spacing w:before="0" w:after="20"/>
              <w:ind w:left="144"/>
            </w:pPr>
            <w:r>
              <w:rPr>
                <w:rFonts w:ascii="Calibri" w:hAnsi="Calibri"/>
                <w:b w:val="0"/>
                <w:i w:val="0"/>
                <w:color w:val="1A1A2E"/>
                <w:sz w:val="15"/>
              </w:rPr>
              <w:t>→  One-click .doc export with auto-detected heading and list formatting</w:t>
            </w:r>
          </w:p>
          <w:p>
            <w:pPr>
              <w:spacing w:before="60" w:after="80"/>
              <w:ind w:left="72"/>
            </w:pPr>
            <w:r>
              <w:rPr>
                <w:rFonts w:ascii="Calibri" w:hAnsi="Calibri"/>
                <w:b/>
                <w:i w:val="0"/>
                <w:color w:val="F5A623"/>
                <w:sz w:val="14"/>
              </w:rPr>
              <w:t xml:space="preserve">IP NOTE  </w:t>
            </w:r>
            <w:r>
              <w:rPr>
                <w:rFonts w:ascii="Calibri" w:hAnsi="Calibri"/>
                <w:b w:val="0"/>
                <w:i/>
                <w:color w:val="555566"/>
                <w:sz w:val="15"/>
              </w:rPr>
              <w:t>The jurisdictions table as a first-class data entity decouples regulatory knowledge from application code — a defensible data asset that grows with each new province added, creating a regulatory compliance knowledge moat.</w:t>
            </w:r>
          </w:p>
        </w:tc>
      </w:tr>
    </w:tbl>
    <w:p>
      <w:pPr>
        <w:spacing w:before="80" w:after="80"/>
        <w:pBdr>
          <w:top w:val="single" w:sz="8" w:space="1" w:color="E8407A"/>
        </w:pBdr>
      </w:pPr>
    </w:p>
    <w:p>
      <w:pPr>
        <w:spacing w:before="60" w:after="0"/>
        <w:jc w:val="center"/>
      </w:pPr>
      <w:r>
        <w:rPr>
          <w:rFonts w:ascii="Calibri" w:hAnsi="Calibri"/>
          <w:b w:val="0"/>
          <w:i w:val="0"/>
          <w:color w:val="555566"/>
          <w:sz w:val="14"/>
        </w:rPr>
        <w:t>Lightspeed  ·  Launchpad Solutions  ·  Confidential &amp; Proprietary  ·  Distribution restricted to authorised parties under executed NDA</w:t>
      </w:r>
    </w:p>
    <w:sectPr w:rsidR="00FC693F" w:rsidRPr="0006063C" w:rsidSect="00034616">
      <w:pgSz w:w="12240" w:h="15840"/>
      <w:pgMar w:top="792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