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0"/>
        </w:rPr>
        <w:t>DONATION ACCEPTANCE, DUE DILIGENCE AND GIFT ADMINISTRATION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3456"/>
            <w:shd w:fill="145A32"/>
          </w:tcPr>
          <w:p>
            <w:r/>
            <w:r>
              <w:rPr>
                <w:b/>
                <w:sz w:val="18"/>
              </w:rPr>
              <w:t>Document Control</w:t>
            </w:r>
          </w:p>
        </w:tc>
        <w:tc>
          <w:tcPr>
            <w:tcW w:type="dxa" w:w="6768"/>
            <w:shd w:fill="145A32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title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Donation Acceptance, Due Diligence and Gift Administration Procedure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number / reference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ASCO-DON-PROC-001-2026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16 September 2026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Approval authority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ASCO Board of Directors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Approved by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To be completed in the Board approval register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Review 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16 September 2027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status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Final — adoption-ready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Owner / responsible function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Executive Director with Finance and Procurement Committee oversight</w:t>
            </w:r>
          </w:p>
        </w:tc>
      </w:tr>
    </w:tbl>
    <w:p>
      <w:pPr>
        <w:spacing w:after="120" w:line="276" w:lineRule="auto"/>
      </w:pPr>
      <w:r>
        <w:rPr>
          <w:b w:val="0"/>
          <w:sz w:val="21"/>
        </w:rPr>
        <w:t>ASCO is a South African Non-Profit Company registered under CIPC number 2026/521895/08, with SARS income tax reference 9322812265, and its public address at 49 Rif Road, Manor Gardens, Durban, KwaZulu-Natal, 4001. ASCO’s applications for SARS Public Benefit Organisation approval and Section 18A approval are pending. ASCO must not describe itself as approved or issue Section 18A receipts unless separately approved by SARS.</w:t>
      </w:r>
    </w:p>
    <w:p>
      <w:pPr>
        <w:spacing w:after="120" w:line="276" w:lineRule="auto"/>
      </w:pPr>
      <w:r>
        <w:rPr>
          <w:b w:val="0"/>
          <w:sz w:val="21"/>
        </w:rPr>
        <w:t>The Board governs; Executive Management manages. The Founder/Founding Chairperson, Ms Busisiwe Makhosi Shandu, provides institutional oversight and does not sign, approve, initiate, co-authorise or control ASCO financial documents or transactions. Operational financial authority rests within the Board-approved delegation framework, including the Executive Director, Finance and Procurement Committee and authorised financial signatories.</w:t>
      </w:r>
    </w:p>
    <w:p>
      <w:pPr>
        <w:spacing w:before="200" w:after="80"/>
      </w:pPr>
      <w:r>
        <w:rPr>
          <w:b/>
          <w:color w:val="145A32"/>
          <w:sz w:val="30"/>
        </w:rPr>
        <w:t>1. Purpose and Scope</w:t>
      </w:r>
    </w:p>
    <w:p>
      <w:pPr>
        <w:spacing w:after="120" w:line="276" w:lineRule="auto"/>
      </w:pPr>
      <w:r>
        <w:rPr>
          <w:b w:val="0"/>
          <w:sz w:val="21"/>
        </w:rPr>
        <w:t>This procedure controls the receipt, review, acceptance, refusal, administration and closure of monetary, in-kind, restricted, conditional and sponsored donations. It complements the Donations and Refunds Policy and applies to Directors, Executive Management, employees, volunteers, representatives and any person receiving or recording a donation for ASCO.</w:t>
      </w:r>
    </w:p>
    <w:p>
      <w:pPr>
        <w:spacing w:before="200" w:after="80"/>
      </w:pPr>
      <w:r>
        <w:rPr>
          <w:b/>
          <w:color w:val="145A32"/>
          <w:sz w:val="30"/>
        </w:rPr>
        <w:t>2.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Unrestricted donation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 donation available for ASCO’s lawful objectives without a project-specific restriction.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Restricted donation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 donation accepted in writing for a defined programme, project, place, beneficiary group or purpose.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Conditional donation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 donation dependent on conditions that must be assessed and approved before acceptance.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Gift administrator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The person assigned by the Executive Director to coordinate documents, register entries and acknowledgement.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High-risk donation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 donation presenting elevated legal, source-of-funds, sanctions, corruption, reputational, operational or donor-influence risk.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3. Acceptance Principles</w:t>
      </w:r>
    </w:p>
    <w:p>
      <w:pPr>
        <w:pStyle w:val="ListBullet"/>
        <w:spacing w:after="60"/>
      </w:pPr>
      <w:r>
        <w:t>ASCO accepts only lawful donations consistent with its public-benefit objects, independence, dignity, safeguarding duties and approved policies.</w:t>
      </w:r>
    </w:p>
    <w:p>
      <w:pPr>
        <w:pStyle w:val="ListBullet"/>
        <w:spacing w:after="60"/>
      </w:pPr>
      <w:r>
        <w:t>No donor obtains control over ASCO governance, programme decisions, beneficiaries, employment decisions or public positions merely because they donate.</w:t>
      </w:r>
    </w:p>
    <w:p>
      <w:pPr>
        <w:pStyle w:val="ListBullet"/>
        <w:spacing w:after="60"/>
      </w:pPr>
      <w:r>
        <w:t>ASCO does not accept revocable donations or conditions that provide an improper direct or indirect benefit to the donor or a connected person.</w:t>
      </w:r>
    </w:p>
    <w:p>
      <w:pPr>
        <w:pStyle w:val="ListBullet"/>
        <w:spacing w:after="60"/>
      </w:pPr>
      <w:r>
        <w:t>ASCO does not represent ordinary donations as Section 18A tax-deductible donations.</w:t>
      </w:r>
    </w:p>
    <w:p>
      <w:pPr>
        <w:pStyle w:val="ListBullet"/>
        <w:spacing w:after="60"/>
      </w:pPr>
      <w:r>
        <w:t>Cash handling is exceptional; electronic payment is preferred and any cash must be counted, receipted, secured and deposited promptly.</w:t>
      </w:r>
    </w:p>
    <w:p>
      <w:pPr>
        <w:spacing w:before="200" w:after="80"/>
      </w:pPr>
      <w:r>
        <w:rPr>
          <w:b/>
          <w:color w:val="145A32"/>
          <w:sz w:val="30"/>
        </w:rPr>
        <w:t>4. Risk Triage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Typical indicators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Minimum action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Approval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Identified donor; ordinary unrestricted donation; no adverse indicators; modest value.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Record, verify payment, register and acknowledge.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Gift administrator / Executive Director.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Restricted purpose; material in-kind gift; corporate donor; unusual payment route; incomplete information.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Obtain documents, conflict check, written terms and enhanced review.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Executive Director plus Finance and Procurement Committee.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Anonymous or opaque source; sanctions/PEP concern; suspected crime; revocable or improper conditions; major reputational risk; unexplained third-party payment.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Pause; escalate; do not use funds; seek legal/compliance advice; refuse or return where appropriate.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Board approval after written risk assessment; legal advice where needed.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5. Procedure</w:t>
      </w:r>
    </w:p>
    <w:p>
      <w:pPr>
        <w:pStyle w:val="ListNumber"/>
        <w:spacing w:after="60"/>
      </w:pPr>
      <w:r>
        <w:t>Receive the offer or payment and assign a provisional donation reference.</w:t>
      </w:r>
    </w:p>
    <w:p>
      <w:pPr>
        <w:pStyle w:val="ListNumber"/>
        <w:spacing w:after="60"/>
      </w:pPr>
      <w:r>
        <w:t>Identify the donor and obtain proportionate source and purpose information.</w:t>
      </w:r>
    </w:p>
    <w:p>
      <w:pPr>
        <w:pStyle w:val="ListNumber"/>
        <w:spacing w:after="60"/>
      </w:pPr>
      <w:r>
        <w:t>Check restrictions, conflicts, donor influence, reputational indicators and payment consistency.</w:t>
      </w:r>
    </w:p>
    <w:p>
      <w:pPr>
        <w:pStyle w:val="ListNumber"/>
        <w:spacing w:after="60"/>
      </w:pPr>
      <w:r>
        <w:t>Classify risk and obtain the required approval before acceptance or expenditure.</w:t>
      </w:r>
    </w:p>
    <w:p>
      <w:pPr>
        <w:pStyle w:val="ListNumber"/>
        <w:spacing w:after="60"/>
      </w:pPr>
      <w:r>
        <w:t>Record the donation in the Donation Register and link all supporting documents.</w:t>
      </w:r>
    </w:p>
    <w:p>
      <w:pPr>
        <w:pStyle w:val="ListNumber"/>
        <w:spacing w:after="60"/>
      </w:pPr>
      <w:r>
        <w:t>Issue an ordinary acknowledgement only after receipt is verified; do not issue a Section 18A receipt before approval.</w:t>
      </w:r>
    </w:p>
    <w:p>
      <w:pPr>
        <w:pStyle w:val="ListNumber"/>
        <w:spacing w:after="60"/>
      </w:pPr>
      <w:r>
        <w:t>Allocate, account for, reconcile and report the donation under the relevant procedure.</w:t>
      </w:r>
    </w:p>
    <w:p>
      <w:pPr>
        <w:pStyle w:val="ListNumber"/>
        <w:spacing w:after="60"/>
      </w:pPr>
      <w:r>
        <w:t>If rejected or returned, document the reason, authorisation, payment trail and final disposition.</w:t>
      </w:r>
    </w:p>
    <w:p>
      <w:pPr>
        <w:spacing w:before="200" w:after="80"/>
      </w:pPr>
      <w:r>
        <w:rPr>
          <w:b/>
          <w:color w:val="145A32"/>
          <w:sz w:val="30"/>
        </w:rPr>
        <w:t>6. Refusal and Return Criteria</w:t>
      </w:r>
    </w:p>
    <w:p>
      <w:pPr>
        <w:pStyle w:val="ListBullet"/>
        <w:spacing w:after="60"/>
      </w:pPr>
      <w:r>
        <w:t>Illegal, suspected proceeds of crime, terrorism-financing concern or unexplained third-party funds.</w:t>
      </w:r>
    </w:p>
    <w:p>
      <w:pPr>
        <w:pStyle w:val="ListBullet"/>
        <w:spacing w:after="60"/>
      </w:pPr>
      <w:r>
        <w:t>Donor seeks improper control, personal benefit, political influence or beneficiary selection inconsistent with ASCO principles.</w:t>
      </w:r>
    </w:p>
    <w:p>
      <w:pPr>
        <w:pStyle w:val="ListBullet"/>
        <w:spacing w:after="60"/>
      </w:pPr>
      <w:r>
        <w:t>Conditions conflict with ASCO’s objects, safeguarding, non-discrimination, independence or law.</w:t>
      </w:r>
    </w:p>
    <w:p>
      <w:pPr>
        <w:pStyle w:val="ListBullet"/>
        <w:spacing w:after="60"/>
      </w:pPr>
      <w:r>
        <w:t>Donation cannot be administered, valued, stored, insured, transported or reported responsibly.</w:t>
      </w:r>
    </w:p>
    <w:p>
      <w:pPr>
        <w:pStyle w:val="ListBullet"/>
        <w:spacing w:after="60"/>
      </w:pPr>
      <w:r>
        <w:t>The donor cannot provide information proportionate to the risk after a reasonable request.</w:t>
      </w:r>
    </w:p>
    <w:p>
      <w:pPr>
        <w:spacing w:before="200" w:after="80"/>
      </w:pPr>
      <w:r>
        <w:rPr>
          <w:b/>
          <w:color w:val="145A32"/>
          <w:sz w:val="30"/>
        </w:rPr>
        <w:t>7. Records, Monitoring and Exceptions</w:t>
      </w:r>
    </w:p>
    <w:p>
      <w:pPr>
        <w:spacing w:after="120" w:line="276" w:lineRule="auto"/>
      </w:pPr>
      <w:r>
        <w:rPr>
          <w:b w:val="0"/>
          <w:sz w:val="21"/>
        </w:rPr>
        <w:t>The Gift Administrator maintains the file. The Executive Director reviews open items monthly. The Finance and Procurement Committee reviews reconciliations, restricted funds, refusals, refunds and medium/high-risk donations quarterly and reports material matters to the Board. Any exception requires written reasons, risk controls and approval at the level that would have approved the underlying donation.</w:t>
      </w:r>
    </w:p>
    <w:p>
      <w:pPr>
        <w:spacing w:before="200" w:after="80"/>
      </w:pPr>
      <w:r>
        <w:rPr>
          <w:b/>
          <w:color w:val="145A32"/>
          <w:sz w:val="30"/>
        </w:rPr>
        <w:t>8. Legal and Related References</w:t>
      </w:r>
    </w:p>
    <w:p>
      <w:pPr>
        <w:spacing w:after="120" w:line="276" w:lineRule="auto"/>
      </w:pPr>
      <w:r>
        <w:rPr>
          <w:b w:val="0"/>
          <w:sz w:val="21"/>
        </w:rPr>
        <w:t>This procedure is informed by the Income Tax Act requirements for PBOs and Section 18A approvals, the Companies Act 71 of 2008, POPIA, applicable anti-fraud and anti-corruption obligations, and the official SARS PBO guidance and checklist. Related documents: ASCO Donations and Refunds Policy 2026; Delegation of Authority and Financial Management Policy 2026; Privacy and POPIA Notice 2026; PAIA Manual 2026; Safeguarding and Complaints Policy 2026; Board Charter 2026; Constitution 2026; Memorandum of Incorporation 2026; PBO Motivation 2026; Public Benefit Activities 2026.</w:t>
      </w:r>
    </w:p>
    <w:p>
      <w:pPr>
        <w:spacing w:before="200" w:after="80"/>
      </w:pPr>
      <w:r>
        <w:rPr>
          <w:b/>
          <w:color w:val="145A32"/>
          <w:sz w:val="30"/>
        </w:rPr>
        <w:t>Approval and Adoption</w:t>
      </w:r>
    </w:p>
    <w:p>
      <w:pPr>
        <w:spacing w:after="120" w:line="276" w:lineRule="auto"/>
      </w:pPr>
      <w:r>
        <w:rPr>
          <w:b w:val="0"/>
          <w:sz w:val="21"/>
        </w:rPr>
        <w:t>This document is complete and adoption-ready. It becomes an approved ASCO operational instrument when adopted through a properly recorded Board resolution or approval register entry. No approval, meeting or signature is represented as having occurred by this document alone.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>
              <w:br/>
              <w:t>____________________________</w:t>
            </w:r>
          </w:p>
        </w:tc>
      </w:tr>
    </w:tbl>
    <w:sectPr w:rsidR="005906A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159D" w14:textId="77777777" w:rsidR="005906A9" w:rsidRDefault="005906A9">
      <w:pPr>
        <w:spacing w:after="0" w:line="240" w:lineRule="auto"/>
      </w:pPr>
      <w:r>
        <w:separator/>
      </w:r>
    </w:p>
  </w:endnote>
  <w:endnote w:type="continuationSeparator" w:id="0">
    <w:p w14:paraId="55670B92" w14:textId="77777777" w:rsidR="005906A9" w:rsidRDefault="00590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8540" w14:textId="28E261D4" w:rsidR="00197AB8" w:rsidRDefault="00197AB8" w:rsidP="00197AB8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rPr>
        <w:color w:val="145A32"/>
      </w:rPr>
      <w:fldChar w:fldCharType="begin"/>
    </w:r>
    <w:r>
      <w:rPr>
        <w:color w:val="145A32"/>
      </w:rPr>
      <w:instrText>PAGE</w:instrText>
    </w:r>
    <w:r>
      <w:rPr>
        <w:color w:val="145A32"/>
      </w:rPr>
      <w:fldChar w:fldCharType="separate"/>
    </w:r>
    <w:r>
      <w:rPr>
        <w:color w:val="145A32"/>
      </w:rPr>
      <w:t>1</w:t>
    </w:r>
    <w:r>
      <w:rPr>
        <w:color w:val="145A32"/>
      </w:rPr>
      <w:fldChar w:fldCharType="end"/>
    </w:r>
    <w:r>
      <w:rPr>
        <w:color w:val="145A32"/>
        <w:sz w:val="16"/>
      </w:rPr>
      <w:t xml:space="preserve">OFFICIAL DONATION ACCEPTANCE PROCEDURE</w:t>
    </w:r>
    <w:r>
      <w:rPr>
        <w:color w:val="145A32"/>
        <w:sz w:val="16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B855C" w14:textId="77777777" w:rsidR="005906A9" w:rsidRDefault="005906A9">
      <w:pPr>
        <w:spacing w:after="0" w:line="240" w:lineRule="auto"/>
      </w:pPr>
      <w:r>
        <w:separator/>
      </w:r>
    </w:p>
  </w:footnote>
  <w:footnote w:type="continuationSeparator" w:id="0">
    <w:p w14:paraId="4E2B40BB" w14:textId="77777777" w:rsidR="005906A9" w:rsidRDefault="00590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45"/>
      <w:gridCol w:w="4397"/>
    </w:tblGrid>
    <w:tr w:rsidR="00197AB8" w:rsidRPr="00197AB8" w14:paraId="4BED25AF" w14:textId="77777777" w:rsidTr="00382546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58971018" w14:textId="77777777" w:rsidR="00197AB8" w:rsidRPr="00197AB8" w:rsidRDefault="00197AB8" w:rsidP="00197AB8">
          <w:pPr>
            <w:spacing w:line="254" w:lineRule="auto"/>
          </w:pPr>
          <w:r w:rsidRPr="00197AB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63CB8430" wp14:editId="119B0892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B9DA51" w14:textId="77777777" w:rsidR="00197AB8" w:rsidRDefault="00197AB8" w:rsidP="00197AB8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FB3518D" wp14:editId="5D4C70FA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B843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76B9DA51" w14:textId="77777777" w:rsidR="00197AB8" w:rsidRDefault="00197AB8" w:rsidP="00197AB8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B3518D" wp14:editId="5D4C70FA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36514A6D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b/>
              <w:color w:val="145A32"/>
            </w:rPr>
            <w:t>AFRICAN SOLIDARITY CIVIC ORGANISATION (ASCO)</w:t>
          </w:r>
          <w:r w:rsidRPr="00197AB8">
            <w:rPr>
              <w:sz w:val="16"/>
            </w:rPr>
            <w:br/>
            <w:t>Registered NPC: 2026/521895/08 | Tax Reference: 9322812265</w:t>
          </w:r>
          <w:r w:rsidRPr="00197AB8">
            <w:rPr>
              <w:sz w:val="15"/>
            </w:rPr>
            <w:br/>
            <w:t xml:space="preserve">49 Rif Road, Manor Gardens </w:t>
          </w:r>
        </w:p>
        <w:p w14:paraId="67A10C0A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sz w:val="15"/>
            </w:rPr>
            <w:t xml:space="preserve">Durban, KwaZulu-Natal </w:t>
          </w:r>
        </w:p>
        <w:p w14:paraId="2857D0AC" w14:textId="77777777" w:rsidR="00197AB8" w:rsidRPr="00197AB8" w:rsidRDefault="00197AB8" w:rsidP="00197AB8">
          <w:pPr>
            <w:spacing w:line="254" w:lineRule="auto"/>
            <w:jc w:val="right"/>
          </w:pPr>
          <w:r w:rsidRPr="00197AB8">
            <w:rPr>
              <w:sz w:val="15"/>
            </w:rPr>
            <w:t>4001</w:t>
          </w:r>
          <w:r w:rsidRPr="00197AB8">
            <w:rPr>
              <w:sz w:val="15"/>
            </w:rPr>
            <w:br/>
            <w:t>info@africansolidaritycivic.org | www.africansolidaritycivic.org</w:t>
          </w:r>
        </w:p>
      </w:tc>
    </w:tr>
  </w:tbl>
  <w:p w14:paraId="5C2C5463" w14:textId="77777777" w:rsidR="00197AB8" w:rsidRDefault="00197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B8"/>
    <w:rsid w:val="001B11C3"/>
    <w:rsid w:val="0029639D"/>
    <w:rsid w:val="00326F90"/>
    <w:rsid w:val="00376A4D"/>
    <w:rsid w:val="005906A9"/>
    <w:rsid w:val="005D62AA"/>
    <w:rsid w:val="006963F4"/>
    <w:rsid w:val="0072647B"/>
    <w:rsid w:val="008935B9"/>
    <w:rsid w:val="008B06AC"/>
    <w:rsid w:val="008B0B75"/>
    <w:rsid w:val="00900805"/>
    <w:rsid w:val="009D03FA"/>
    <w:rsid w:val="009F07BD"/>
    <w:rsid w:val="00AA1D8D"/>
    <w:rsid w:val="00AC3B06"/>
    <w:rsid w:val="00B47730"/>
    <w:rsid w:val="00BF076C"/>
    <w:rsid w:val="00C91663"/>
    <w:rsid w:val="00CB0664"/>
    <w:rsid w:val="00D8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D7B09EE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3188</Words>
  <Characters>18178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21324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Donations and Refunds Policy — FINAL DOCUMENTATION — BOARD APPROVED; EXECUTION / FILING DETAILS TO BE RECORDED</dc:title>
  <dc:subject>Harmonised ASCO constitution with unified vision, mission, governance terminology and SARS wording</dc:subject>
  <dc:creator>African Solidarity Civic Organisation (ASCO NPC)</dc:creator>
  <cp:keywords/>
  <dc:description>generated by python-docx</dc:description>
  <cp:lastModifiedBy>Thapelo Maqalika</cp:lastModifiedBy>
  <cp:revision>8</cp:revision>
  <cp:lastPrinted>2026-09-08T17:52:00Z</cp:lastPrinted>
  <dcterms:created xsi:type="dcterms:W3CDTF">2013-12-23T23:15:00Z</dcterms:created>
  <dcterms:modified xsi:type="dcterms:W3CDTF">2026-09-08T17:53:00Z</dcterms:modified>
  <cp:category/>
</cp:coreProperties>
</file>