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AGREEMENT AND GIFT ACCEPTANCE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Agreement and Gift Acceptance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ASCO-DON-FORM-004-2026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Director; Finance and Procurement Committee; Board for high-risk/material terms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form for material, restricted, conditional, in-kind, international, corporate, sponsored or otherwise unusual donations. Ordinary low-risk donations may be recorded through the Donation Register without this form unless the Executive Director requires it.</w:t>
      </w:r>
    </w:p>
    <w:p>
      <w:pPr>
        <w:spacing w:before="200" w:after="80"/>
      </w:pPr>
      <w:r>
        <w:rPr>
          <w:b/>
          <w:color w:val="145A32"/>
          <w:sz w:val="30"/>
        </w:rPr>
        <w:t>A. Donor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legal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/ company / organisation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Contact person and role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/ telephone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Address / country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Registration or identification information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Authorised representative evidence received ☐ Yes ☐ No ☐ N/A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Donation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offered /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Cash / EFT / online / goods / services / sponsorship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Amount or value and currency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Payment / delivery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☐ Restricted ☐ Conditional ☐ Designated ☐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Programme / project / beneficiary designation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Terms and Restrictions</w:t>
      </w:r>
    </w:p>
    <w:p>
      <w:pPr>
        <w:spacing w:after="120" w:line="276" w:lineRule="auto"/>
      </w:pPr>
      <w:r>
        <w:rPr>
          <w:b w:val="0"/>
          <w:sz w:val="21"/>
        </w:rPr>
        <w:t>Permitted use: ____________________________________________________________________________</w:t>
        <w:br/>
        <w:t>Restrictions or conditions: __________________________________________________________________</w:t>
        <w:br/>
        <w:t>Reporting required: ________________________________________________________________________</w:t>
        <w:br/>
        <w:t>Unspent balance / project closure terms: _____________________________________________________</w:t>
        <w:br/>
        <w:t>Donor requested acknowledgement or publicity: 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D. Representations</w:t>
      </w:r>
    </w:p>
    <w:p>
      <w:pPr>
        <w:pStyle w:val="ListBullet"/>
        <w:spacing w:after="60"/>
      </w:pPr>
      <w:r>
        <w:t>The donor confirms that the donation is lawful and is not proceeds of crime or intended to finance unlawful conduct.</w:t>
      </w:r>
    </w:p>
    <w:p>
      <w:pPr>
        <w:pStyle w:val="ListBullet"/>
        <w:spacing w:after="60"/>
      </w:pPr>
      <w:r>
        <w:t>The donor confirms that no undisclosed connected person will receive an improper direct or indirect benefit.</w:t>
      </w:r>
    </w:p>
    <w:p>
      <w:pPr>
        <w:pStyle w:val="ListBullet"/>
        <w:spacing w:after="60"/>
      </w:pPr>
      <w:r>
        <w:t>The donor understands that ASCO remains independent and that the donation does not confer governance, employment, beneficiary-selection or public-position rights.</w:t>
      </w:r>
    </w:p>
    <w:p>
      <w:pPr>
        <w:pStyle w:val="ListBullet"/>
        <w:spacing w:after="60"/>
      </w:pPr>
      <w:r>
        <w:t>ASCO confirms that it will use the donation only as accepted and will maintain appropriate records and reports.</w:t>
      </w:r>
    </w:p>
    <w:p>
      <w:pPr>
        <w:pStyle w:val="ListBullet"/>
        <w:spacing w:after="60"/>
      </w:pPr>
      <w:r>
        <w:t>The donor understands that ASCO’s PBO and Section 18A applications are pending and that this form is not a Section 18A receipt.</w:t>
      </w:r>
    </w:p>
    <w:p>
      <w:pPr>
        <w:spacing w:before="200" w:after="80"/>
      </w:pPr>
      <w:r>
        <w:rPr>
          <w:b/>
          <w:color w:val="145A32"/>
          <w:sz w:val="30"/>
        </w:rPr>
        <w:t>E. Conflicts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 / action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involving donor and ASCO person?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influence or private-benefit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Enhanced due diligence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or compliance advice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level: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Approved / refused / returned: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Approval authority and date: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F. Signatures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This agreement does not authorise the Founder/Founding Chairperson to sign, approve or control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GIFT ACCEPTANCE FORM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