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2"/>
        </w:rPr>
        <w:t>PRIVACY AND POPIA NOTICE</w:t>
      </w:r>
    </w:p>
    <w:tbl>
      <w:tblPr>
        <w:tblStyle w:val="TableGrid"/>
        <w:tblW w:type="auto" w:w="0"/>
        <w:jc w:val="center"/>
        <w:tblLook w:firstColumn="1" w:firstRow="1" w:lastColumn="0" w:lastRow="0" w:noHBand="0" w:noVBand="1" w:val="04A0"/>
      </w:tblPr>
      <w:tblGrid>
        <w:gridCol w:w="4969"/>
        <w:gridCol w:w="4969"/>
      </w:tblGrid>
      <w:tr>
        <w:tc>
          <w:tcPr>
            <w:tcW w:type="dxa" w:w="4969"/>
            <w:shd w:fill="145A32"/>
          </w:tcPr>
          <w:p>
            <w:r>
              <w:rPr>
                <w:b/>
                <w:color w:val="FFFFFF"/>
                <w:sz w:val="18"/>
              </w:rPr>
              <w:t>Document Control</w:t>
            </w:r>
          </w:p>
        </w:tc>
        <w:tc>
          <w:tcPr>
            <w:tcW w:type="dxa" w:w="4969"/>
            <w:shd w:fill="145A32"/>
          </w:tcPr>
          <w:p>
            <w:r>
              <w:rPr>
                <w:b/>
                <w:color w:val="FFFFFF"/>
                <w:sz w:val="18"/>
              </w:rPr>
              <w:t>Details</w:t>
            </w:r>
          </w:p>
        </w:tc>
      </w:tr>
      <w:tr>
        <w:tc>
          <w:tcPr>
            <w:tcW w:type="dxa" w:w="4969"/>
          </w:tcPr>
          <w:p>
            <w:r>
              <w:t>Document title</w:t>
            </w:r>
          </w:p>
        </w:tc>
        <w:tc>
          <w:tcPr>
            <w:tcW w:type="dxa" w:w="4969"/>
          </w:tcPr>
          <w:p>
            <w:r>
              <w:t>Privacy and POPIA Notice</w:t>
            </w:r>
          </w:p>
        </w:tc>
      </w:tr>
      <w:tr>
        <w:tc>
          <w:tcPr>
            <w:tcW w:type="dxa" w:w="4969"/>
          </w:tcPr>
          <w:p>
            <w:r>
              <w:t>Document number / reference</w:t>
            </w:r>
          </w:p>
        </w:tc>
        <w:tc>
          <w:tcPr>
            <w:tcW w:type="dxa" w:w="4969"/>
          </w:tcPr>
          <w:p>
            <w:r>
              <w:t>ASCO-PRIV-001-2026</w:t>
            </w:r>
          </w:p>
        </w:tc>
      </w:tr>
      <w:tr>
        <w:tc>
          <w:tcPr>
            <w:tcW w:type="dxa" w:w="4969"/>
          </w:tcPr>
          <w:p>
            <w:r>
              <w:t>Version</w:t>
            </w:r>
          </w:p>
        </w:tc>
        <w:tc>
          <w:tcPr>
            <w:tcW w:type="dxa" w:w="4969"/>
          </w:tcPr>
          <w:p>
            <w:r>
              <w:t>1.0</w:t>
            </w:r>
          </w:p>
        </w:tc>
      </w:tr>
      <w:tr>
        <w:tc>
          <w:tcPr>
            <w:tcW w:type="dxa" w:w="4969"/>
          </w:tcPr>
          <w:p>
            <w:r>
              <w:t>Effective date</w:t>
            </w:r>
          </w:p>
        </w:tc>
        <w:tc>
          <w:tcPr>
            <w:tcW w:type="dxa" w:w="4969"/>
          </w:tcPr>
          <w:p>
            <w:r>
              <w:t>16 September 2026</w:t>
            </w:r>
          </w:p>
        </w:tc>
      </w:tr>
      <w:tr>
        <w:tc>
          <w:tcPr>
            <w:tcW w:type="dxa" w:w="4969"/>
          </w:tcPr>
          <w:p>
            <w:r>
              <w:t>Approval authority</w:t>
            </w:r>
          </w:p>
        </w:tc>
        <w:tc>
          <w:tcPr>
            <w:tcW w:type="dxa" w:w="4969"/>
          </w:tcPr>
          <w:p>
            <w:r>
              <w:t>ASCO Board of Directors</w:t>
            </w:r>
          </w:p>
        </w:tc>
      </w:tr>
      <w:tr>
        <w:tc>
          <w:tcPr>
            <w:tcW w:type="dxa" w:w="4969"/>
          </w:tcPr>
          <w:p>
            <w:r>
              <w:t>Approved by</w:t>
            </w:r>
          </w:p>
        </w:tc>
        <w:tc>
          <w:tcPr>
            <w:tcW w:type="dxa" w:w="4969"/>
          </w:tcPr>
          <w:p>
            <w:r>
              <w:t>ASCO Board of Directors — adoption recorded in approval register</w:t>
            </w:r>
          </w:p>
        </w:tc>
      </w:tr>
      <w:tr>
        <w:tc>
          <w:tcPr>
            <w:tcW w:type="dxa" w:w="4969"/>
          </w:tcPr>
          <w:p>
            <w:r>
              <w:t>Review date</w:t>
            </w:r>
          </w:p>
        </w:tc>
        <w:tc>
          <w:tcPr>
            <w:tcW w:type="dxa" w:w="4969"/>
          </w:tcPr>
          <w:p>
            <w:r>
              <w:t>16 September 2027</w:t>
            </w:r>
          </w:p>
        </w:tc>
      </w:tr>
      <w:tr>
        <w:tc>
          <w:tcPr>
            <w:tcW w:type="dxa" w:w="4969"/>
          </w:tcPr>
          <w:p>
            <w:r>
              <w:t>Document status</w:t>
            </w:r>
          </w:p>
        </w:tc>
        <w:tc>
          <w:tcPr>
            <w:tcW w:type="dxa" w:w="4969"/>
          </w:tcPr>
          <w:p>
            <w:r>
              <w:t>Final — Board-adopted operational instrument</w:t>
            </w:r>
          </w:p>
        </w:tc>
      </w:tr>
      <w:tr>
        <w:tc>
          <w:tcPr>
            <w:tcW w:type="dxa" w:w="4969"/>
          </w:tcPr>
          <w:p>
            <w:r>
              <w:t>Owner / responsible function</w:t>
            </w:r>
          </w:p>
        </w:tc>
        <w:tc>
          <w:tcPr>
            <w:tcW w:type="dxa" w:w="4969"/>
          </w:tcPr>
          <w:p>
            <w:r>
              <w:t>ASCO Information Officer / Executive Director</w:t>
            </w:r>
          </w:p>
        </w:tc>
      </w:tr>
    </w:tbl>
    <w:p>
      <w:pPr>
        <w:spacing w:after="120" w:line="276" w:lineRule="auto"/>
      </w:pPr>
      <w:r>
        <w:rPr>
          <w:sz w:val="21"/>
        </w:rPr>
        <w:t>African Solidarity Civic Organisation NPC (ASCO NPC) is a South African Non-Profit Company, CIPC registration 2026/521895/08, SARS income tax reference 9322812265, with its public address at 49 Rif Road, Manor Gardens, Durban, KwaZulu-Natal, 4001. ASCO’s SARS PBO and Section 18A applications remain pending; neither approval is claimed by this document.</w:t>
      </w:r>
    </w:p>
    <w:p>
      <w:pPr>
        <w:spacing w:after="120" w:line="276" w:lineRule="auto"/>
      </w:pPr>
      <w:r>
        <w:rPr>
          <w:sz w:val="21"/>
        </w:rPr>
        <w:t>ASCO follows the principle that the Board governs and Executive Management manages. The Founder/Founding Chairperson provides institutional oversight and does not sign, approve, initiate, co-authorise or control ASCO financial documents or transactions.</w:t>
      </w:r>
    </w:p>
    <w:p>
      <w:pPr>
        <w:spacing w:before="200"/>
      </w:pPr>
      <w:r>
        <w:rPr>
          <w:b/>
          <w:color w:val="145A32"/>
          <w:sz w:val="28"/>
        </w:rPr>
        <w:t>1. Responsible Party and Contact</w:t>
      </w:r>
    </w:p>
    <w:p>
      <w:pPr>
        <w:spacing w:after="120" w:line="276" w:lineRule="auto"/>
      </w:pPr>
      <w:r>
        <w:rPr>
          <w:sz w:val="21"/>
        </w:rPr>
        <w:t>The responsible party is African Solidarity Civic Organisation NPC. Privacy, access and correction requests may be submitted to info@africansolidaritycivic.org or 49 Rif Road, Manor Gardens, Durban, KwaZulu-Natal, 4001. ASCO maintains the formal Information Officer designation and registration details in its statutory records and will update this notice when those details change.</w:t>
      </w:r>
    </w:p>
    <w:p>
      <w:pPr>
        <w:spacing w:before="200"/>
      </w:pPr>
      <w:r>
        <w:rPr>
          <w:b/>
          <w:color w:val="145A32"/>
          <w:sz w:val="28"/>
        </w:rPr>
        <w:t>2. Information Collected</w:t>
      </w:r>
    </w:p>
    <w:p>
      <w:pPr>
        <w:pStyle w:val="ListBullet"/>
        <w:spacing w:after="60"/>
      </w:pPr>
      <w:r>
        <w:t>Identity and contact information; membership and volunteer information; donor and payment-related information; programme, safeguarding and complaint information; employment and supplier information; correspondence and website interaction information.</w:t>
      </w:r>
    </w:p>
    <w:p>
      <w:pPr>
        <w:pStyle w:val="ListBullet"/>
        <w:spacing w:after="60"/>
      </w:pPr>
      <w:r>
        <w:t>ASCO collects only information reasonably necessary for a lawful, specific purpose and does not require a person to provide unrelated information.</w:t>
      </w:r>
    </w:p>
    <w:p>
      <w:pPr>
        <w:spacing w:before="200"/>
      </w:pPr>
      <w:r>
        <w:rPr>
          <w:b/>
          <w:color w:val="145A32"/>
          <w:sz w:val="28"/>
        </w:rPr>
        <w:t>3. Purposes and Lawful Processing</w:t>
      </w:r>
    </w:p>
    <w:p>
      <w:pPr>
        <w:spacing w:after="120" w:line="276" w:lineRule="auto"/>
      </w:pPr>
      <w:r>
        <w:rPr>
          <w:sz w:val="21"/>
        </w:rPr>
        <w:t>Purposes include governance, membership, volunteering, donation administration, due diligence, accounting, safeguarding, programme delivery, communications where permitted, regulatory compliance, complaints, PAIA requests, fraud prevention and donor reporting. ASCO processes information in accordance with POPIA’s conditions for lawful processing and other applicable law.</w:t>
      </w:r>
    </w:p>
    <w:p>
      <w:pPr>
        <w:spacing w:before="200"/>
      </w:pPr>
      <w:r>
        <w:rPr>
          <w:b/>
          <w:color w:val="145A32"/>
          <w:sz w:val="28"/>
        </w:rPr>
        <w:t>4. Donor and Payment Data</w:t>
      </w:r>
    </w:p>
    <w:p>
      <w:pPr>
        <w:spacing w:after="120" w:line="276" w:lineRule="auto"/>
      </w:pPr>
      <w:r>
        <w:rPr>
          <w:sz w:val="21"/>
        </w:rPr>
        <w:t>Donor information is used to identify and administer donations, verify payment, manage restrictions, issue ordinary acknowledgements, reconcile accounts, conduct proportionate due diligence and meet legal or donor reporting obligations. ASCO does not issue Section 18A receipts while approval is pending.</w:t>
      </w:r>
    </w:p>
    <w:p>
      <w:pPr>
        <w:spacing w:before="200"/>
      </w:pPr>
      <w:r>
        <w:rPr>
          <w:b/>
          <w:color w:val="145A32"/>
          <w:sz w:val="28"/>
        </w:rPr>
        <w:t>5. Access, Sharing and Operators</w:t>
      </w:r>
    </w:p>
    <w:p>
      <w:pPr>
        <w:spacing w:after="120" w:line="276" w:lineRule="auto"/>
      </w:pPr>
      <w:r>
        <w:rPr>
          <w:sz w:val="21"/>
        </w:rPr>
        <w:t>Access is limited by role and need-to-know. ASCO may share information with authorised service providers, auditors, professional advisers, regulators, law-enforcement bodies or programme partners where lawful, necessary and appropriately controlled. Contracts and safeguards are required for operators processing information on ASCO’s behalf.</w:t>
      </w:r>
    </w:p>
    <w:p>
      <w:pPr>
        <w:spacing w:before="200"/>
      </w:pPr>
      <w:r>
        <w:rPr>
          <w:b/>
          <w:color w:val="145A32"/>
          <w:sz w:val="28"/>
        </w:rPr>
        <w:t>6. Retention and Disposal</w:t>
      </w:r>
    </w:p>
    <w:p>
      <w:pPr>
        <w:spacing w:after="120" w:line="276" w:lineRule="auto"/>
      </w:pPr>
      <w:r>
        <w:rPr>
          <w:sz w:val="21"/>
        </w:rPr>
        <w:t>ASCO retains information only for as long as reasonably necessary for the purpose, legal obligations, audit, donor conditions, dispute resolution or an approved retention schedule. Records subject to an investigation, complaint, audit or legal hold are preserved. Disposal is secure and documented where appropriate.</w:t>
      </w:r>
    </w:p>
    <w:p>
      <w:pPr>
        <w:spacing w:before="200"/>
      </w:pPr>
      <w:r>
        <w:rPr>
          <w:b/>
          <w:color w:val="145A32"/>
          <w:sz w:val="28"/>
        </w:rPr>
        <w:t>7. Data Subject Requests</w:t>
      </w:r>
    </w:p>
    <w:p>
      <w:pPr>
        <w:pStyle w:val="ListNumber"/>
        <w:spacing w:after="60"/>
      </w:pPr>
      <w:r>
        <w:t>Submit access, correction, objection, deletion or consent-related requests to info@africansolidaritycivic.org.</w:t>
      </w:r>
    </w:p>
    <w:p>
      <w:pPr>
        <w:pStyle w:val="ListNumber"/>
        <w:spacing w:after="60"/>
      </w:pPr>
      <w:r>
        <w:t>ASCO verifies identity proportionately and records the request.</w:t>
      </w:r>
    </w:p>
    <w:p>
      <w:pPr>
        <w:pStyle w:val="ListNumber"/>
        <w:spacing w:after="60"/>
      </w:pPr>
      <w:r>
        <w:t>The responsible function assesses the request under POPIA, PAIA and applicable law and responds within the applicable period.</w:t>
      </w:r>
    </w:p>
    <w:p>
      <w:pPr>
        <w:pStyle w:val="ListNumber"/>
        <w:spacing w:after="60"/>
      </w:pPr>
      <w:r>
        <w:t>Where a request is refused or restricted, ASCO explains the lawful basis and available complaint or remedy route.</w:t>
      </w:r>
    </w:p>
    <w:p>
      <w:pPr>
        <w:spacing w:before="200"/>
      </w:pPr>
      <w:r>
        <w:rPr>
          <w:b/>
          <w:color w:val="145A32"/>
          <w:sz w:val="28"/>
        </w:rPr>
        <w:t>8. Security Compromises and Complaints</w:t>
      </w:r>
    </w:p>
    <w:p>
      <w:pPr>
        <w:spacing w:after="120" w:line="276" w:lineRule="auto"/>
      </w:pPr>
      <w:r>
        <w:rPr>
          <w:sz w:val="21"/>
        </w:rPr>
        <w:t>Suspected loss, unauthorised access, disclosure or destruction must be reported immediately to ASCO through info@africansolidaritycivic.org. ASCO will contain, investigate, document and notify the Information Regulator and affected data subjects where required. Complaints may also be directed to the Information Regulator through its current official channels.</w:t>
      </w:r>
    </w:p>
    <w:p>
      <w:pPr>
        <w:spacing w:before="200"/>
      </w:pPr>
      <w:r>
        <w:rPr>
          <w:b/>
          <w:color w:val="145A32"/>
          <w:sz w:val="28"/>
        </w:rPr>
        <w:t>9. Children, Marketing and International Transfers</w:t>
      </w:r>
    </w:p>
    <w:p>
      <w:pPr>
        <w:spacing w:after="120" w:line="276" w:lineRule="auto"/>
      </w:pPr>
      <w:r>
        <w:rPr>
          <w:sz w:val="21"/>
        </w:rPr>
        <w:t>ASCO uses appropriate consent and safeguarding measures for children and vulnerable persons. Direct marketing is separate from donation or membership administration and is used only where lawful. International transfers are assessed and protected under applicable law and contractual safeguards.</w:t>
      </w:r>
    </w:p>
    <w:p>
      <w:pPr>
        <w:spacing w:before="200"/>
      </w:pPr>
      <w:r>
        <w:rPr>
          <w:b/>
          <w:color w:val="145A32"/>
          <w:sz w:val="28"/>
        </w:rPr>
        <w:t>Approval and Board Signatures</w:t>
      </w:r>
    </w:p>
    <w:p>
      <w:pPr>
        <w:spacing w:after="120" w:line="276" w:lineRule="auto"/>
      </w:pPr>
      <w:r>
        <w:rPr>
          <w:sz w:val="21"/>
        </w:rPr>
        <w:t>This document is an ASCO Board-adopted operational instrument. The signatures below record adoption and governance acknowledgement. They do not give the Founder/Founding Chairperson financial signing or transaction authority.</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6 September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6 September 2026</w:t>
            </w:r>
            <w:r>
              <w:br/>
              <w:t>____________________________</w:t>
            </w:r>
          </w:p>
        </w:tc>
      </w:tr>
    </w:tbl>
    <w:sectPr w:rsidR="00D50191" w:rsidSect="00F06150">
      <w:headerReference w:type="default" r:id="rId12"/>
      <w:footerReference w:type="default" r:id="rId13"/>
      <w:pgSz w:w="12240" w:h="15840"/>
      <w:pgMar w:top="1656" w:right="1151" w:bottom="1009" w:left="1151"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1DDD" w14:textId="77777777" w:rsidR="00E145BA" w:rsidRDefault="00E145BA">
      <w:pPr>
        <w:spacing w:after="0" w:line="240" w:lineRule="auto"/>
      </w:pPr>
      <w:r>
        <w:separator/>
      </w:r>
    </w:p>
  </w:endnote>
  <w:endnote w:type="continuationSeparator" w:id="0">
    <w:p w14:paraId="3188A4D4" w14:textId="77777777" w:rsidR="00E145BA" w:rsidRDefault="00E14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0FF" w14:textId="2D5F7C8D" w:rsidR="00F06150" w:rsidRDefault="00F06150" w:rsidP="00F06150">
    <w:pPr>
      <w:pStyle w:val="Footer"/>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OFFICIAL </w:t>
    </w:r>
    <w:r>
      <w:rPr>
        <w:color w:val="5F6B63"/>
        <w:sz w:val="16"/>
      </w:rPr>
      <w:t>BOARD CHARTER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B733" w14:textId="77777777" w:rsidR="00E145BA" w:rsidRDefault="00E145BA">
      <w:pPr>
        <w:spacing w:after="0" w:line="240" w:lineRule="auto"/>
      </w:pPr>
      <w:r>
        <w:separator/>
      </w:r>
    </w:p>
  </w:footnote>
  <w:footnote w:type="continuationSeparator" w:id="0">
    <w:p w14:paraId="4EAE24D7" w14:textId="77777777" w:rsidR="00E145BA" w:rsidRDefault="00E14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5C1D" w14:textId="23A9886F" w:rsidR="00C91663" w:rsidRDefault="00C91663" w:rsidP="00F06150">
    <w:pPr>
      <w:pStyle w:val="Header"/>
    </w:pPr>
  </w:p>
  <w:tbl>
    <w:tblPr>
      <w:tblW w:w="0" w:type="auto"/>
      <w:tblLook w:val="04A0" w:firstRow="1" w:lastRow="0" w:firstColumn="1" w:lastColumn="0" w:noHBand="0" w:noVBand="1"/>
    </w:tblPr>
    <w:tblGrid>
      <w:gridCol w:w="5040"/>
      <w:gridCol w:w="5040"/>
    </w:tblGrid>
    <w:tr w:rsidR="00C91663" w14:paraId="4BD07808"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2A6E8E91"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3AB0E475"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3AB0E475"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6E6015D5"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77327F51" w14:textId="77777777" w:rsidR="006963F4" w:rsidRDefault="00000000">
          <w:pPr>
            <w:jc w:val="right"/>
            <w:rPr>
              <w:sz w:val="15"/>
            </w:rPr>
          </w:pPr>
          <w:r>
            <w:rPr>
              <w:sz w:val="15"/>
            </w:rPr>
            <w:t xml:space="preserve">Durban, KwaZulu-Natal </w:t>
          </w:r>
        </w:p>
        <w:p w14:paraId="674B38D7"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3"/>
    <w:rsid w:val="0029639D"/>
    <w:rsid w:val="00326F90"/>
    <w:rsid w:val="00376A4D"/>
    <w:rsid w:val="005D62AA"/>
    <w:rsid w:val="005F0DE4"/>
    <w:rsid w:val="006963F4"/>
    <w:rsid w:val="0072647B"/>
    <w:rsid w:val="00764E09"/>
    <w:rsid w:val="008935B9"/>
    <w:rsid w:val="008B0B75"/>
    <w:rsid w:val="009D03FA"/>
    <w:rsid w:val="009F07BD"/>
    <w:rsid w:val="00A56C00"/>
    <w:rsid w:val="00A970F4"/>
    <w:rsid w:val="00AA1D8D"/>
    <w:rsid w:val="00AC3B06"/>
    <w:rsid w:val="00B47730"/>
    <w:rsid w:val="00BF076C"/>
    <w:rsid w:val="00C91663"/>
    <w:rsid w:val="00CB0664"/>
    <w:rsid w:val="00D057FC"/>
    <w:rsid w:val="00D50191"/>
    <w:rsid w:val="00D83E5F"/>
    <w:rsid w:val="00E145BA"/>
    <w:rsid w:val="00F0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19E938"/>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6772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9</cp:revision>
  <cp:lastPrinted>2026-09-07T07:22:00Z</cp:lastPrinted>
  <dcterms:created xsi:type="dcterms:W3CDTF">2013-12-23T23:15:00Z</dcterms:created>
  <dcterms:modified xsi:type="dcterms:W3CDTF">2026-09-08T17:51:00Z</dcterms:modified>
  <cp:category/>
</cp:coreProperties>
</file>