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RESTRICTED DONATION AND PROJECT FUND MANAGEMENT PROCEDURE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Restricted Donation and Project Fund Management Procedure</w:t>
            </w:r>
          </w:p>
        </w:tc>
      </w:tr>
      <w:tr>
        <w:tc>
          <w:tcPr>
            <w:tcW w:type="dxa" w:w="3456"/>
          </w:tcPr>
          <w:p>
            <w:r/>
            <w:r>
              <w:rPr>
                <w:b w:val="0"/>
                <w:sz w:val="18"/>
              </w:rPr>
              <w:t>Document number / reference</w:t>
            </w:r>
          </w:p>
        </w:tc>
        <w:tc>
          <w:tcPr>
            <w:tcW w:type="dxa" w:w="6768"/>
          </w:tcPr>
          <w:p>
            <w:r/>
            <w:r>
              <w:rPr>
                <w:b w:val="0"/>
                <w:sz w:val="18"/>
              </w:rPr>
              <w:t>ASCO-DON-PROC-009-2026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16 September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Executive Director; Finance and Procurement Committee; Board oversight</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ASCO’s applications for SARS Public Benefit Organisation approval and Section 18A approval are pending. ASCO must not describe itself as approved or issue Section 18A receipts unless separately approved by SARS.</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1. Purpose</w:t>
      </w:r>
    </w:p>
    <w:p>
      <w:pPr>
        <w:spacing w:after="120" w:line="276" w:lineRule="auto"/>
      </w:pPr>
      <w:r>
        <w:rPr>
          <w:b w:val="0"/>
          <w:sz w:val="21"/>
        </w:rPr>
        <w:t>This procedure governs acceptance, recording, budgeting, spending, reporting and closure of restricted and designated donations while preserving the Board’s governance authority and ASCO’s independence.</w:t>
      </w:r>
    </w:p>
    <w:p>
      <w:pPr>
        <w:spacing w:before="200" w:after="80"/>
      </w:pPr>
      <w:r>
        <w:rPr>
          <w:b/>
          <w:color w:val="145A32"/>
          <w:sz w:val="30"/>
        </w:rPr>
        <w:t>2. Categories</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fill="145A32"/>
          </w:tcPr>
          <w:p>
            <w:r/>
            <w:r>
              <w:rPr>
                <w:b/>
                <w:sz w:val="18"/>
              </w:rPr>
              <w:t>Category</w:t>
            </w:r>
          </w:p>
        </w:tc>
        <w:tc>
          <w:tcPr>
            <w:tcW w:type="dxa" w:w="3009"/>
            <w:shd w:fill="145A32"/>
          </w:tcPr>
          <w:p>
            <w:r/>
            <w:r>
              <w:rPr>
                <w:b/>
                <w:sz w:val="18"/>
              </w:rPr>
              <w:t>Meaning</w:t>
            </w:r>
          </w:p>
        </w:tc>
        <w:tc>
          <w:tcPr>
            <w:tcW w:type="dxa" w:w="3009"/>
            <w:shd w:fill="145A32"/>
          </w:tcPr>
          <w:p>
            <w:r/>
            <w:r>
              <w:rPr>
                <w:b/>
                <w:sz w:val="18"/>
              </w:rPr>
              <w:t>Control</w:t>
            </w:r>
          </w:p>
        </w:tc>
      </w:tr>
      <w:tr>
        <w:tc>
          <w:tcPr>
            <w:tcW w:type="dxa" w:w="3009"/>
          </w:tcPr>
          <w:p>
            <w:r/>
            <w:r>
              <w:rPr>
                <w:b w:val="0"/>
                <w:sz w:val="18"/>
              </w:rPr>
              <w:t>Unrestricted</w:t>
            </w:r>
          </w:p>
        </w:tc>
        <w:tc>
          <w:tcPr>
            <w:tcW w:type="dxa" w:w="3009"/>
          </w:tcPr>
          <w:p>
            <w:r/>
            <w:r>
              <w:rPr>
                <w:b w:val="0"/>
                <w:sz w:val="18"/>
              </w:rPr>
              <w:t>Available for ASCO’s lawful objectives.</w:t>
            </w:r>
          </w:p>
        </w:tc>
        <w:tc>
          <w:tcPr>
            <w:tcW w:type="dxa" w:w="3009"/>
          </w:tcPr>
          <w:p>
            <w:r/>
            <w:r>
              <w:rPr>
                <w:b w:val="0"/>
                <w:sz w:val="18"/>
              </w:rPr>
              <w:t>Board-approved budget and ordinary controls.</w:t>
            </w:r>
          </w:p>
        </w:tc>
      </w:tr>
      <w:tr>
        <w:tc>
          <w:tcPr>
            <w:tcW w:type="dxa" w:w="3009"/>
          </w:tcPr>
          <w:p>
            <w:r/>
            <w:r>
              <w:rPr>
                <w:b w:val="0"/>
                <w:sz w:val="18"/>
              </w:rPr>
              <w:t>Restricted</w:t>
            </w:r>
          </w:p>
        </w:tc>
        <w:tc>
          <w:tcPr>
            <w:tcW w:type="dxa" w:w="3009"/>
          </w:tcPr>
          <w:p>
            <w:r/>
            <w:r>
              <w:rPr>
                <w:b w:val="0"/>
                <w:sz w:val="18"/>
              </w:rPr>
              <w:t>Accepted in writing for a defined project, programme, place, beneficiary group or purpose.</w:t>
            </w:r>
          </w:p>
        </w:tc>
        <w:tc>
          <w:tcPr>
            <w:tcW w:type="dxa" w:w="3009"/>
          </w:tcPr>
          <w:p>
            <w:r/>
            <w:r>
              <w:rPr>
                <w:b w:val="0"/>
                <w:sz w:val="18"/>
              </w:rPr>
              <w:t>Written terms, separate tracking, purpose-only expenditure and donor reporting.</w:t>
            </w:r>
          </w:p>
        </w:tc>
      </w:tr>
      <w:tr>
        <w:tc>
          <w:tcPr>
            <w:tcW w:type="dxa" w:w="3009"/>
          </w:tcPr>
          <w:p>
            <w:r/>
            <w:r>
              <w:rPr>
                <w:b w:val="0"/>
                <w:sz w:val="18"/>
              </w:rPr>
              <w:t>Conditional</w:t>
            </w:r>
          </w:p>
        </w:tc>
        <w:tc>
          <w:tcPr>
            <w:tcW w:type="dxa" w:w="3009"/>
          </w:tcPr>
          <w:p>
            <w:r/>
            <w:r>
              <w:rPr>
                <w:b w:val="0"/>
                <w:sz w:val="18"/>
              </w:rPr>
              <w:t>Dependent on a stated event, milestone or condition before use.</w:t>
            </w:r>
          </w:p>
        </w:tc>
        <w:tc>
          <w:tcPr>
            <w:tcW w:type="dxa" w:w="3009"/>
          </w:tcPr>
          <w:p>
            <w:r/>
            <w:r>
              <w:rPr>
                <w:b w:val="0"/>
                <w:sz w:val="18"/>
              </w:rPr>
              <w:t>Do not spend until condition is verified and acceptance approved.</w:t>
            </w:r>
          </w:p>
        </w:tc>
      </w:tr>
      <w:tr>
        <w:tc>
          <w:tcPr>
            <w:tcW w:type="dxa" w:w="3009"/>
          </w:tcPr>
          <w:p>
            <w:r/>
            <w:r>
              <w:rPr>
                <w:b w:val="0"/>
                <w:sz w:val="18"/>
              </w:rPr>
              <w:t>Designated</w:t>
            </w:r>
          </w:p>
        </w:tc>
        <w:tc>
          <w:tcPr>
            <w:tcW w:type="dxa" w:w="3009"/>
          </w:tcPr>
          <w:p>
            <w:r/>
            <w:r>
              <w:rPr>
                <w:b w:val="0"/>
                <w:sz w:val="18"/>
              </w:rPr>
              <w:t>Donor expresses a preference but ASCO has not accepted a binding restriction in writing.</w:t>
            </w:r>
          </w:p>
        </w:tc>
        <w:tc>
          <w:tcPr>
            <w:tcW w:type="dxa" w:w="3009"/>
          </w:tcPr>
          <w:p>
            <w:r/>
            <w:r>
              <w:rPr>
                <w:b w:val="0"/>
                <w:sz w:val="18"/>
              </w:rPr>
              <w:t>Record preference; confirm ASCO discretion before acceptance.</w:t>
            </w:r>
          </w:p>
        </w:tc>
      </w:tr>
    </w:tbl>
    <w:p>
      <w:pPr>
        <w:spacing w:before="200" w:after="80"/>
      </w:pPr>
      <w:r>
        <w:rPr>
          <w:b/>
          <w:color w:val="145A32"/>
          <w:sz w:val="30"/>
        </w:rPr>
        <w:t>3. Acceptance of Restrictions</w:t>
      </w:r>
    </w:p>
    <w:p>
      <w:pPr>
        <w:pStyle w:val="ListNumber"/>
        <w:spacing w:after="60"/>
      </w:pPr>
      <w:r>
        <w:t>Assess whether the restriction is lawful, achievable, measurable, consistent with ASCO objectives and administratively proportionate.</w:t>
      </w:r>
    </w:p>
    <w:p>
      <w:pPr>
        <w:pStyle w:val="ListNumber"/>
        <w:spacing w:after="60"/>
      </w:pPr>
      <w:r>
        <w:t>Confirm no donor control or improper private benefit.</w:t>
      </w:r>
    </w:p>
    <w:p>
      <w:pPr>
        <w:pStyle w:val="ListNumber"/>
        <w:spacing w:after="60"/>
      </w:pPr>
      <w:r>
        <w:t>Record the restriction in the donation register and agreement.</w:t>
      </w:r>
    </w:p>
    <w:p>
      <w:pPr>
        <w:pStyle w:val="ListNumber"/>
        <w:spacing w:after="60"/>
      </w:pPr>
      <w:r>
        <w:t>Assign a project/fund code and responsible programme owner.</w:t>
      </w:r>
    </w:p>
    <w:p>
      <w:pPr>
        <w:pStyle w:val="ListNumber"/>
        <w:spacing w:after="60"/>
      </w:pPr>
      <w:r>
        <w:t>Obtain approval before acknowledging the gift as restricted.</w:t>
      </w:r>
    </w:p>
    <w:p>
      <w:pPr>
        <w:spacing w:before="200" w:after="80"/>
      </w:pPr>
      <w:r>
        <w:rPr>
          <w:b/>
          <w:color w:val="145A32"/>
          <w:sz w:val="30"/>
        </w:rPr>
        <w:t>4. Fund Management</w:t>
      </w:r>
    </w:p>
    <w:p>
      <w:pPr>
        <w:pStyle w:val="ListBullet"/>
        <w:spacing w:after="60"/>
      </w:pPr>
      <w:r>
        <w:t>Maintain a separate accounting code or fund schedule for each material restriction.</w:t>
      </w:r>
    </w:p>
    <w:p>
      <w:pPr>
        <w:pStyle w:val="ListBullet"/>
        <w:spacing w:after="60"/>
      </w:pPr>
      <w:r>
        <w:t>Spend only on permitted costs supported by invoices, approvals and procurement records.</w:t>
      </w:r>
    </w:p>
    <w:p>
      <w:pPr>
        <w:pStyle w:val="ListBullet"/>
        <w:spacing w:after="60"/>
      </w:pPr>
      <w:r>
        <w:t>Do not transfer restricted funds between projects without written donor agreement or a lawful ASCO decision under the accepted terms.</w:t>
      </w:r>
    </w:p>
    <w:p>
      <w:pPr>
        <w:pStyle w:val="ListBullet"/>
        <w:spacing w:after="60"/>
      </w:pPr>
      <w:r>
        <w:t>Monitor budget, commitments, expenditure, balance, deliverables and reporting deadlines monthly.</w:t>
      </w:r>
    </w:p>
    <w:p>
      <w:pPr>
        <w:pStyle w:val="ListBullet"/>
        <w:spacing w:after="60"/>
      </w:pPr>
      <w:r>
        <w:t>Report restricted-fund status to the Executive Director monthly and Committee quarterly.</w:t>
      </w:r>
    </w:p>
    <w:p>
      <w:pPr>
        <w:spacing w:before="200" w:after="80"/>
      </w:pPr>
      <w:r>
        <w:rPr>
          <w:b/>
          <w:color w:val="145A32"/>
          <w:sz w:val="30"/>
        </w:rPr>
        <w:t>5. Underspend, Overspend and Closure</w:t>
      </w:r>
    </w:p>
    <w:p>
      <w:pPr>
        <w:spacing w:after="120" w:line="276" w:lineRule="auto"/>
      </w:pPr>
      <w:r>
        <w:rPr>
          <w:b w:val="0"/>
          <w:sz w:val="21"/>
        </w:rPr>
        <w:t>Underspend is reported and carried forward only if terms permit. Overspend requires corrective action and cannot be funded by restricted money outside its purpose. At project closure, the Executive Director prepares a final fund statement. Any unspent balance is handled according to the agreement; if silent or impossible, seek donor clarification and Board/Committee direction without creating an improper benefit.</w:t>
      </w:r>
    </w:p>
    <w:p>
      <w:pPr>
        <w:spacing w:before="200" w:after="80"/>
      </w:pPr>
      <w:r>
        <w:rPr>
          <w:b/>
          <w:color w:val="145A32"/>
          <w:sz w:val="30"/>
        </w:rPr>
        <w:t>6. Changes and Termination</w:t>
      </w:r>
    </w:p>
    <w:p>
      <w:pPr>
        <w:spacing w:after="120" w:line="276" w:lineRule="auto"/>
      </w:pPr>
      <w:r>
        <w:rPr>
          <w:b w:val="0"/>
          <w:sz w:val="21"/>
        </w:rPr>
        <w:t>Material changes to purpose, budget, timetable, beneficiaries or deliverables require documented review and donor consent where required. A donation may be returned only under authorised terms and with payment, accounting and register records.</w:t>
      </w:r>
    </w:p>
    <w:p>
      <w:pPr>
        <w:spacing w:before="200" w:after="80"/>
      </w:pPr>
      <w:r>
        <w:rPr>
          <w:b/>
          <w:color w:val="145A32"/>
          <w:sz w:val="30"/>
        </w:rPr>
        <w:t>7. References</w:t>
      </w:r>
    </w:p>
    <w:p>
      <w:pPr>
        <w:spacing w:after="120" w:line="276" w:lineRule="auto"/>
      </w:pPr>
      <w:r>
        <w:rPr>
          <w:b w:val="0"/>
          <w:sz w:val="21"/>
        </w:rPr>
        <w:t>Related documents: ASCO Donations and Refunds Policy 2026; Delegation of Authority and Financial Management Policy 2026; Privacy and POPIA Notice 2026; PAIA Manual 2026; Safeguarding and Complaints Policy 2026; Board Charter 2026; Constitution 2026; Memorandum of Incorporation 2026; PBO Motivation 2026; Public Benefit Activities 2026.</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RESTRICTED FUNDS PROCEDURE</w:t>
    </w:r>
    <w:r>
      <w:rPr>
        <w:color w:val="145A32"/>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