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line="252" w:lineRule="auto"/>
        <w:jc w:val="center"/>
      </w:pPr>
      <w:r>
        <w:rPr>
          <w:rFonts w:ascii="Arial" w:hAnsi="Arial"/>
          <w:b/>
          <w:i w:val="0"/>
          <w:color w:val="145A32"/>
          <w:sz w:val="30"/>
        </w:rPr>
        <w:t>AFRICAN SOLIDARITY CIVIC ORGANISATION NPC (ASCO)</w:t>
      </w:r>
    </w:p>
    <w:p>
      <w:pPr>
        <w:spacing w:after="100" w:before="0" w:line="252" w:lineRule="auto"/>
        <w:jc w:val="center"/>
      </w:pPr>
      <w:r>
        <w:rPr>
          <w:rFonts w:ascii="Arial" w:hAnsi="Arial"/>
          <w:b/>
          <w:i w:val="0"/>
          <w:color w:val="145A32"/>
          <w:sz w:val="26"/>
        </w:rPr>
        <w:t>Monitoring Evaluation and Impact Framework</w:t>
      </w:r>
    </w:p>
    <w:p>
      <w:pPr>
        <w:spacing w:after="100" w:before="0" w:line="252" w:lineRule="auto"/>
        <w:jc w:val="center"/>
      </w:pPr>
      <w:r>
        <w:rPr>
          <w:rFonts w:ascii="Arial" w:hAnsi="Arial"/>
          <w:b w:val="0"/>
          <w:i w:val="0"/>
          <w:color w:val="145A32"/>
          <w:sz w:val="21"/>
        </w:rPr>
        <w:t>BOARD-APPROVED FINAL DOCUMENTATION</w:t>
      </w:r>
    </w:p>
    <w:p>
      <w:pPr>
        <w:spacing w:after="200" w:before="0" w:line="252" w:lineRule="auto"/>
        <w:jc w:val="center"/>
      </w:pPr>
      <w:r>
        <w:rPr>
          <w:rFonts w:ascii="Arial" w:hAnsi="Arial"/>
          <w:b/>
          <w:i w:val="0"/>
          <w:color w:val="145A32"/>
          <w:sz w:val="19"/>
        </w:rPr>
        <w:t>FINAL DOCUMENTATION — BOARD APPROVED; EXECUTION / FILING DETAILS TO BE RECORDED</w:t>
      </w:r>
    </w:p>
    <w:p>
      <w:pPr>
        <w:spacing w:after="200" w:before="0" w:line="252" w:lineRule="auto"/>
        <w:jc w:val="center"/>
      </w:pPr>
      <w:r>
        <w:rPr>
          <w:rFonts w:ascii="Arial" w:hAnsi="Arial"/>
          <w:b w:val="0"/>
          <w:i/>
          <w:sz w:val="18"/>
        </w:rPr>
        <w:t>This document records the Board-approved ASCO governance model and policy position. Legal effectiveness, execution, statutory-register updates and filing or registration requirements must be completed by the authorised persons and recorded in the approval register. The Memorandum of Incorporation remains subject to the Companies Act 71 of 2008 and applicable filing requirements.</w:t>
      </w:r>
    </w:p>
    <w:p>
      <w:pPr>
        <w:spacing w:after="80" w:before="140" w:line="252" w:lineRule="auto"/>
      </w:pPr>
      <w:r>
        <w:rPr>
          <w:rFonts w:ascii="Arial" w:hAnsi="Arial"/>
          <w:b/>
          <w:i w:val="0"/>
          <w:color w:val="145A32"/>
          <w:sz w:val="26"/>
        </w:rPr>
        <w:t>DOCUMENT CONTROL</w:t>
      </w:r>
    </w:p>
    <w:p>
      <w:pPr>
        <w:spacing w:after="80" w:before="0" w:line="252" w:lineRule="auto"/>
      </w:pPr>
      <w:r>
        <w:rPr>
          <w:rFonts w:ascii="Arial" w:hAnsi="Arial"/>
          <w:b w:val="0"/>
          <w:i w:val="0"/>
          <w:sz w:val="20"/>
        </w:rPr>
        <w:t>Version: 1.0 | Prepared and Board-approved: 10 September 2026 | Resolution reference: To be entered in the approval register | Effective date: To be recorded where applicable | Next review: To be recorded</w:t>
      </w:r>
    </w:p>
    <w:p>
      <w:pPr>
        <w:spacing w:after="80" w:before="140" w:line="252" w:lineRule="auto"/>
      </w:pPr>
      <w:r>
        <w:rPr>
          <w:rFonts w:ascii="Arial" w:hAnsi="Arial"/>
          <w:b/>
          <w:i w:val="0"/>
          <w:color w:val="145A32"/>
          <w:sz w:val="26"/>
        </w:rPr>
        <w:t>1. PURPOSE</w:t>
      </w:r>
    </w:p>
    <w:p>
      <w:pPr>
        <w:spacing w:after="80" w:before="0" w:line="252" w:lineRule="auto"/>
      </w:pPr>
      <w:r>
        <w:rPr>
          <w:rFonts w:ascii="Arial" w:hAnsi="Arial"/>
          <w:b w:val="0"/>
          <w:i w:val="0"/>
          <w:sz w:val="20"/>
        </w:rPr>
        <w:t>This framework distinguishes inputs, activities, outputs, outcomes and verified impact. Planning targets must not be presented as completed results.</w:t>
      </w:r>
    </w:p>
    <w:p>
      <w:pPr>
        <w:spacing w:after="80" w:before="140" w:line="252" w:lineRule="auto"/>
      </w:pPr>
      <w:r>
        <w:rPr>
          <w:rFonts w:ascii="Arial" w:hAnsi="Arial"/>
          <w:b/>
          <w:i w:val="0"/>
          <w:color w:val="145A32"/>
          <w:sz w:val="26"/>
        </w:rPr>
        <w:t>2. INDICATORS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r>
              <w:rPr>
                <w:rFonts w:ascii="Arial" w:hAnsi="Arial"/>
                <w:b/>
                <w:color w:val="145A32"/>
                <w:sz w:val="17"/>
              </w:rPr>
              <w:t>Level</w:t>
            </w:r>
          </w:p>
        </w:tc>
        <w:tc>
          <w:tcPr>
            <w:tcW w:type="dxa" w:w="3009"/>
            <w:vAlign w:val="center"/>
          </w:tcPr>
          <w:p>
            <w:r>
              <w:rPr>
                <w:rFonts w:ascii="Arial" w:hAnsi="Arial"/>
                <w:b/>
                <w:color w:val="145A32"/>
                <w:sz w:val="17"/>
              </w:rPr>
              <w:t>Examples</w:t>
            </w:r>
          </w:p>
        </w:tc>
        <w:tc>
          <w:tcPr>
            <w:tcW w:type="dxa" w:w="3009"/>
            <w:vAlign w:val="center"/>
          </w:tcPr>
          <w:p>
            <w:r>
              <w:rPr>
                <w:rFonts w:ascii="Arial" w:hAnsi="Arial"/>
                <w:b/>
                <w:color w:val="145A32"/>
                <w:sz w:val="17"/>
              </w:rPr>
              <w:t>Evidence</w:t>
            </w:r>
          </w:p>
        </w:tc>
      </w:tr>
      <w:tr>
        <w:tc>
          <w:tcPr>
            <w:tcW w:type="dxa" w:w="3009"/>
            <w:vAlign w:val="center"/>
          </w:tcPr>
          <w:p>
            <w:pPr>
              <w:spacing w:after="40"/>
            </w:pPr>
            <w:r>
              <w:rPr>
                <w:rFonts w:ascii="Arial" w:hAnsi="Arial"/>
                <w:sz w:val="16"/>
              </w:rPr>
              <w:t>Inputs</w:t>
            </w:r>
          </w:p>
        </w:tc>
        <w:tc>
          <w:tcPr>
            <w:tcW w:type="dxa" w:w="3009"/>
            <w:vAlign w:val="center"/>
          </w:tcPr>
          <w:p>
            <w:pPr>
              <w:spacing w:after="40"/>
            </w:pPr>
            <w:r>
              <w:rPr>
                <w:rFonts w:ascii="Arial" w:hAnsi="Arial"/>
                <w:sz w:val="16"/>
              </w:rPr>
              <w:t>Funding, staff, volunteers, partners</w:t>
            </w:r>
          </w:p>
        </w:tc>
        <w:tc>
          <w:tcPr>
            <w:tcW w:type="dxa" w:w="3009"/>
            <w:vAlign w:val="center"/>
          </w:tcPr>
          <w:p>
            <w:pPr>
              <w:spacing w:after="40"/>
            </w:pPr>
            <w:r>
              <w:rPr>
                <w:rFonts w:ascii="Arial" w:hAnsi="Arial"/>
                <w:sz w:val="16"/>
              </w:rPr>
              <w:t>Budgets, approvals, agreements</w:t>
            </w:r>
          </w:p>
        </w:tc>
      </w:tr>
      <w:tr>
        <w:tc>
          <w:tcPr>
            <w:tcW w:type="dxa" w:w="3009"/>
            <w:vAlign w:val="center"/>
          </w:tcPr>
          <w:p>
            <w:pPr>
              <w:spacing w:after="40"/>
            </w:pPr>
            <w:r>
              <w:rPr>
                <w:rFonts w:ascii="Arial" w:hAnsi="Arial"/>
                <w:sz w:val="16"/>
              </w:rPr>
              <w:t>Activities</w:t>
            </w:r>
          </w:p>
        </w:tc>
        <w:tc>
          <w:tcPr>
            <w:tcW w:type="dxa" w:w="3009"/>
            <w:vAlign w:val="center"/>
          </w:tcPr>
          <w:p>
            <w:pPr>
              <w:spacing w:after="40"/>
            </w:pPr>
            <w:r>
              <w:rPr>
                <w:rFonts w:ascii="Arial" w:hAnsi="Arial"/>
                <w:sz w:val="16"/>
              </w:rPr>
              <w:t>Dialogues, exchanges, campaigns, workshops</w:t>
            </w:r>
          </w:p>
        </w:tc>
        <w:tc>
          <w:tcPr>
            <w:tcW w:type="dxa" w:w="3009"/>
            <w:vAlign w:val="center"/>
          </w:tcPr>
          <w:p>
            <w:pPr>
              <w:spacing w:after="40"/>
            </w:pPr>
            <w:r>
              <w:rPr>
                <w:rFonts w:ascii="Arial" w:hAnsi="Arial"/>
                <w:sz w:val="16"/>
              </w:rPr>
              <w:t>Plans, registers, reports</w:t>
            </w:r>
          </w:p>
        </w:tc>
      </w:tr>
      <w:tr>
        <w:tc>
          <w:tcPr>
            <w:tcW w:type="dxa" w:w="3009"/>
            <w:vAlign w:val="center"/>
          </w:tcPr>
          <w:p>
            <w:pPr>
              <w:spacing w:after="40"/>
            </w:pPr>
            <w:r>
              <w:rPr>
                <w:rFonts w:ascii="Arial" w:hAnsi="Arial"/>
                <w:sz w:val="16"/>
              </w:rPr>
              <w:t>Outputs</w:t>
            </w:r>
          </w:p>
        </w:tc>
        <w:tc>
          <w:tcPr>
            <w:tcW w:type="dxa" w:w="3009"/>
            <w:vAlign w:val="center"/>
          </w:tcPr>
          <w:p>
            <w:pPr>
              <w:spacing w:after="40"/>
            </w:pPr>
            <w:r>
              <w:rPr>
                <w:rFonts w:ascii="Arial" w:hAnsi="Arial"/>
                <w:sz w:val="16"/>
              </w:rPr>
              <w:t>Participants, sessions, referrals, partnerships</w:t>
            </w:r>
          </w:p>
        </w:tc>
        <w:tc>
          <w:tcPr>
            <w:tcW w:type="dxa" w:w="3009"/>
            <w:vAlign w:val="center"/>
          </w:tcPr>
          <w:p>
            <w:pPr>
              <w:spacing w:after="40"/>
            </w:pPr>
            <w:r>
              <w:rPr>
                <w:rFonts w:ascii="Arial" w:hAnsi="Arial"/>
                <w:sz w:val="16"/>
              </w:rPr>
              <w:t>Attendance, materials, registers</w:t>
            </w:r>
          </w:p>
        </w:tc>
      </w:tr>
      <w:tr>
        <w:tc>
          <w:tcPr>
            <w:tcW w:type="dxa" w:w="3009"/>
            <w:vAlign w:val="center"/>
          </w:tcPr>
          <w:p>
            <w:pPr>
              <w:spacing w:after="40"/>
            </w:pPr>
            <w:r>
              <w:rPr>
                <w:rFonts w:ascii="Arial" w:hAnsi="Arial"/>
                <w:sz w:val="16"/>
              </w:rPr>
              <w:t>Outcomes</w:t>
            </w:r>
          </w:p>
        </w:tc>
        <w:tc>
          <w:tcPr>
            <w:tcW w:type="dxa" w:w="3009"/>
            <w:vAlign w:val="center"/>
          </w:tcPr>
          <w:p>
            <w:pPr>
              <w:spacing w:after="40"/>
            </w:pPr>
            <w:r>
              <w:rPr>
                <w:rFonts w:ascii="Arial" w:hAnsi="Arial"/>
                <w:sz w:val="16"/>
              </w:rPr>
              <w:t>Knowledge, attitudes, dialogue, community action</w:t>
            </w:r>
          </w:p>
        </w:tc>
        <w:tc>
          <w:tcPr>
            <w:tcW w:type="dxa" w:w="3009"/>
            <w:vAlign w:val="center"/>
          </w:tcPr>
          <w:p>
            <w:pPr>
              <w:spacing w:after="40"/>
            </w:pPr>
            <w:r>
              <w:rPr>
                <w:rFonts w:ascii="Arial" w:hAnsi="Arial"/>
                <w:sz w:val="16"/>
              </w:rPr>
              <w:t>Pre/post tools, feedback, follow-up</w:t>
            </w:r>
          </w:p>
        </w:tc>
      </w:tr>
      <w:tr>
        <w:tc>
          <w:tcPr>
            <w:tcW w:type="dxa" w:w="3009"/>
            <w:vAlign w:val="center"/>
          </w:tcPr>
          <w:p>
            <w:pPr>
              <w:spacing w:after="40"/>
            </w:pPr>
            <w:r>
              <w:rPr>
                <w:rFonts w:ascii="Arial" w:hAnsi="Arial"/>
                <w:sz w:val="16"/>
              </w:rPr>
              <w:t>Safeguarding</w:t>
            </w:r>
          </w:p>
        </w:tc>
        <w:tc>
          <w:tcPr>
            <w:tcW w:type="dxa" w:w="3009"/>
            <w:vAlign w:val="center"/>
          </w:tcPr>
          <w:p>
            <w:pPr>
              <w:spacing w:after="40"/>
            </w:pPr>
            <w:r>
              <w:rPr>
                <w:rFonts w:ascii="Arial" w:hAnsi="Arial"/>
                <w:sz w:val="16"/>
              </w:rPr>
              <w:t>Complaints, incidents, response and corrective action</w:t>
            </w:r>
          </w:p>
        </w:tc>
        <w:tc>
          <w:tcPr>
            <w:tcW w:type="dxa" w:w="3009"/>
            <w:vAlign w:val="center"/>
          </w:tcPr>
          <w:p>
            <w:pPr>
              <w:spacing w:after="40"/>
            </w:pPr>
            <w:r>
              <w:rPr>
                <w:rFonts w:ascii="Arial" w:hAnsi="Arial"/>
                <w:sz w:val="16"/>
              </w:rPr>
              <w:t>Secure incident and complaints records</w:t>
            </w:r>
          </w:p>
        </w:tc>
      </w:tr>
    </w:tbl>
    <w:p>
      <w:pPr>
        <w:spacing w:after="20"/>
      </w:pPr>
    </w:p>
    <w:p>
      <w:pPr>
        <w:spacing w:after="80" w:before="140" w:line="252" w:lineRule="auto"/>
      </w:pPr>
      <w:r>
        <w:rPr>
          <w:rFonts w:ascii="Arial" w:hAnsi="Arial"/>
          <w:b/>
          <w:i w:val="0"/>
          <w:color w:val="145A32"/>
          <w:sz w:val="26"/>
        </w:rPr>
        <w:t>3. PROGRAMME TARGETS</w:t>
      </w:r>
    </w:p>
    <w:p>
      <w:pPr>
        <w:spacing w:after="80" w:before="0" w:line="252" w:lineRule="auto"/>
      </w:pPr>
      <w:r>
        <w:rPr>
          <w:rFonts w:ascii="Arial" w:hAnsi="Arial"/>
          <w:b w:val="0"/>
          <w:i w:val="0"/>
          <w:sz w:val="20"/>
        </w:rPr>
        <w:t>Youth exchange: planning target of at least one annual exchange, at least 50 participants, at least two reciprocal countries where feasible and three learning insights per participant, subject to approval, resources, safeguarding and partners. Other targets in the Institutional Profile remain proposed unless Board-approved.</w:t>
      </w:r>
    </w:p>
    <w:p>
      <w:pPr>
        <w:spacing w:after="80" w:before="140" w:line="252" w:lineRule="auto"/>
      </w:pPr>
      <w:r>
        <w:rPr>
          <w:rFonts w:ascii="Arial" w:hAnsi="Arial"/>
          <w:b/>
          <w:i w:val="0"/>
          <w:color w:val="145A32"/>
          <w:sz w:val="26"/>
        </w:rPr>
        <w:t>4. REPORTING</w:t>
      </w:r>
    </w:p>
    <w:p>
      <w:pPr>
        <w:spacing w:after="80" w:before="0" w:line="252" w:lineRule="auto"/>
      </w:pPr>
      <w:r>
        <w:rPr>
          <w:rFonts w:ascii="Arial" w:hAnsi="Arial"/>
          <w:b w:val="0"/>
          <w:i w:val="0"/>
          <w:sz w:val="20"/>
        </w:rPr>
        <w:t>Every public result must have an as-at date, evidence owner, underlying records and consent-cleared materials. Posters and announcements are communications evidence, not proof of completed delivery.</w:t>
      </w:r>
    </w:p>
    <w:p>
      <w:pPr>
        <w:spacing w:after="80" w:before="140" w:line="252" w:lineRule="auto"/>
      </w:pPr>
      <w:r>
        <w:rPr>
          <w:rFonts w:ascii="Arial" w:hAnsi="Arial"/>
          <w:b/>
          <w:i w:val="0"/>
          <w:color w:val="145A32"/>
          <w:sz w:val="26"/>
        </w:rPr>
        <w:t>5. REVIEW</w:t>
      </w:r>
    </w:p>
    <w:p>
      <w:pPr>
        <w:spacing w:after="80" w:before="0" w:line="252" w:lineRule="auto"/>
      </w:pPr>
      <w:r>
        <w:rPr>
          <w:rFonts w:ascii="Arial" w:hAnsi="Arial"/>
          <w:b w:val="0"/>
          <w:i w:val="0"/>
          <w:sz w:val="20"/>
        </w:rPr>
        <w:t>The Executive Director prepares reports; the Board reviews performance and approves formal impact reporting.</w:t>
      </w:r>
    </w:p>
    <w:p>
      <w:r>
        <w:br/>
      </w:r>
    </w:p>
    <w:p>
      <w:r>
        <w:rPr>
          <w:rFonts w:ascii="Arial" w:hAnsi="Arial"/>
          <w:i/>
          <w:sz w:val="17"/>
        </w:rPr>
        <w:t>Place of approval / execution: 49 Rif Road, Manor Gardens, Durban, KwaZulu-Natal, 4001, South Africa</w:t>
      </w:r>
    </w:p>
    <w:p>
      <w:r>
        <w:rPr>
          <w:rFonts w:ascii="Arial" w:hAnsi="Arial"/>
          <w:b/>
          <w:color w:val="145A32"/>
          <w:sz w:val="24"/>
        </w:rPr>
        <w:t>BOARD APPROVAL SIGNATURES</w:t>
      </w:r>
    </w:p>
    <w:p>
      <w:r>
        <w:rPr>
          <w:rFonts w:ascii="Arial" w:hAnsi="Arial"/>
          <w:i/>
          <w:sz w:val="17"/>
        </w:rPr>
        <w:t>The following signatures are copied from the signed ASCO documents supplied for this purpose. They record Board approval/acknowledgement in the stated capacities; statutory effectiveness, filing and authority remain subject to the applicable approval and filing process.</w:t>
      </w:r>
    </w:p>
    <w:tbl>
      <w:tblPr>
        <w:tblStyle w:val="TableGrid"/>
        <w:tblW w:type="auto" w:w="0"/>
        <w:jc w:val="center"/>
        <w:tblLook w:firstColumn="1" w:firstRow="1" w:lastColumn="0" w:lastRow="0" w:noHBand="0" w:noVBand="1" w:val="04A0"/>
      </w:tblPr>
      <w:tblGrid>
        <w:gridCol w:w="4513"/>
        <w:gridCol w:w="4513"/>
      </w:tblGrid>
      <w:tr>
        <w:tc>
          <w:tcPr>
            <w:tcW w:type="dxa" w:w="4513"/>
            <w:shd w:fill="EAF2EC"/>
            <w:vAlign w:val="center"/>
          </w:tcPr>
          <w:p>
            <w:pPr>
              <w:spacing w:after="40"/>
            </w:pPr>
            <w:r/>
            <w:r>
              <w:rPr>
                <w:rFonts w:ascii="Arial" w:hAnsi="Arial"/>
                <w:b/>
                <w:color w:val="145A32"/>
                <w:sz w:val="16"/>
              </w:rPr>
              <w:t>CHAIRPERSON / FOUNDER</w:t>
            </w:r>
          </w:p>
          <w:p>
            <w:pPr>
              <w:spacing w:after="20"/>
            </w:pPr>
            <w:r>
              <w:rPr>
                <w:rFonts w:ascii="Arial" w:hAnsi="Arial"/>
                <w:b/>
                <w:sz w:val="18"/>
              </w:rPr>
              <w:t>Ms Busisiwe Makhosi Shandu</w:t>
            </w:r>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ICT AND COMMUNICATIONS</w:t>
            </w:r>
          </w:p>
          <w:p>
            <w:pPr>
              <w:spacing w:after="20"/>
            </w:pPr>
            <w:r>
              <w:rPr>
                <w:rFonts w:ascii="Arial" w:hAnsi="Arial"/>
                <w:b/>
                <w:sz w:val="18"/>
              </w:rPr>
              <w:t>Mr Thapelo Nelson Maqalika</w:t>
            </w:r>
          </w:p>
          <w:p>
            <w:pPr>
              <w:jc w:val="center"/>
            </w:pPr>
            <w:r>
              <w:drawing>
                <wp:inline xmlns:a="http://schemas.openxmlformats.org/drawingml/2006/main" xmlns:pic="http://schemas.openxmlformats.org/drawingml/2006/picture">
                  <wp:extent cx="1325880" cy="176784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25880" cy="176784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r>
        <w:tc>
          <w:tcPr>
            <w:tcW w:type="dxa" w:w="4513"/>
            <w:shd w:fill="EAF2EC"/>
            <w:vAlign w:val="center"/>
          </w:tcPr>
          <w:p>
            <w:pPr>
              <w:spacing w:after="40"/>
            </w:pPr>
            <w:r/>
            <w:r>
              <w:rPr>
                <w:rFonts w:ascii="Arial" w:hAnsi="Arial"/>
                <w:b/>
                <w:color w:val="145A32"/>
                <w:sz w:val="16"/>
              </w:rPr>
              <w:t>EXECUTIVE DIRECTOR</w:t>
            </w:r>
          </w:p>
          <w:p>
            <w:pPr>
              <w:spacing w:after="20"/>
            </w:pPr>
            <w:r>
              <w:rPr>
                <w:rFonts w:ascii="Arial" w:hAnsi="Arial"/>
                <w:b/>
                <w:sz w:val="18"/>
              </w:rPr>
              <w:t>Mr Bhekisisa Shandu</w:t>
            </w:r>
          </w:p>
          <w:p>
            <w:pPr>
              <w:jc w:val="center"/>
            </w:pPr>
            <w:r>
              <w:drawing>
                <wp:inline xmlns:a="http://schemas.openxmlformats.org/drawingml/2006/main" xmlns:pic="http://schemas.openxmlformats.org/drawingml/2006/picture">
                  <wp:extent cx="1325880" cy="132588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PEOPLE AND CULTURE / FINANCE AND PROCUREMENT</w:t>
            </w:r>
          </w:p>
          <w:p>
            <w:pPr>
              <w:spacing w:after="20"/>
            </w:pPr>
            <w:r>
              <w:rPr>
                <w:rFonts w:ascii="Arial" w:hAnsi="Arial"/>
                <w:b/>
                <w:sz w:val="18"/>
              </w:rPr>
              <w:t>Mr Khulekani Gumede</w:t>
            </w:r>
          </w:p>
          <w:p>
            <w:pPr>
              <w:jc w:val="center"/>
            </w:pPr>
            <w:r>
              <w:drawing>
                <wp:inline xmlns:a="http://schemas.openxmlformats.org/drawingml/2006/main" xmlns:pic="http://schemas.openxmlformats.org/drawingml/2006/picture">
                  <wp:extent cx="1325880" cy="139451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1394516"/>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  |  OFFICIAL </w:t>
    </w:r>
    <w:r>
      <w:rPr>
        <w:color w:val="145A32"/>
        <w:sz w:val="16"/>
      </w:rPr>
      <w:t>MONITORING EVALUATION AND IMPACT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Evaluation and Impact Framework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