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line="252" w:lineRule="auto"/>
        <w:jc w:val="center"/>
      </w:pPr>
      <w:r>
        <w:rPr>
          <w:rFonts w:ascii="Arial" w:hAnsi="Arial"/>
          <w:b/>
          <w:i w:val="0"/>
          <w:color w:val="145A32"/>
          <w:sz w:val="30"/>
        </w:rPr>
        <w:t>AFRICAN SOLIDARITY CIVIC ORGANISATION NPC (ASCO)</w:t>
      </w:r>
    </w:p>
    <w:p>
      <w:pPr>
        <w:spacing w:after="100" w:before="0" w:line="252" w:lineRule="auto"/>
        <w:jc w:val="center"/>
      </w:pPr>
      <w:r>
        <w:rPr>
          <w:rFonts w:ascii="Arial" w:hAnsi="Arial"/>
          <w:b/>
          <w:i w:val="0"/>
          <w:color w:val="145A32"/>
          <w:sz w:val="26"/>
        </w:rPr>
        <w:t>PAIA Manual</w:t>
      </w:r>
    </w:p>
    <w:p>
      <w:pPr>
        <w:spacing w:after="100" w:before="0" w:line="252" w:lineRule="auto"/>
        <w:jc w:val="center"/>
      </w:pPr>
      <w:r>
        <w:rPr>
          <w:rFonts w:ascii="Arial" w:hAnsi="Arial"/>
          <w:b w:val="0"/>
          <w:i w:val="0"/>
          <w:color w:val="145A32"/>
          <w:sz w:val="21"/>
        </w:rPr>
        <w:t>BOARD-APPROVED FINAL DOCUMENTATION</w:t>
      </w:r>
    </w:p>
    <w:p>
      <w:pPr>
        <w:spacing w:after="200" w:before="0" w:line="252" w:lineRule="auto"/>
        <w:jc w:val="center"/>
      </w:pPr>
      <w:r>
        <w:rPr>
          <w:rFonts w:ascii="Arial" w:hAnsi="Arial"/>
          <w:b/>
          <w:i w:val="0"/>
          <w:color w:val="145A32"/>
          <w:sz w:val="19"/>
        </w:rPr>
        <w:t>FINAL DOCUMENTATION — BOARD APPROVED; EXECUTION / FILING DETAILS TO BE RECORDED</w:t>
      </w:r>
    </w:p>
    <w:p>
      <w:pPr>
        <w:spacing w:after="200" w:before="0" w:line="252" w:lineRule="auto"/>
        <w:jc w:val="center"/>
      </w:pPr>
      <w:r>
        <w:rPr>
          <w:rFonts w:ascii="Arial" w:hAnsi="Arial"/>
          <w:b w:val="0"/>
          <w:i/>
          <w:sz w:val="18"/>
        </w:rPr>
        <w:t>This document records the Board-approved ASCO governance model and policy position. Legal effectiveness, execution, statutory-register updates and filing or registration requirements must be completed by the authorised persons and recorded in the approval register. The Memorandum of Incorporation remains subject to the Companies Act 71 of 2008 and applicable filing requirements.</w:t>
      </w:r>
    </w:p>
    <w:p>
      <w:pPr>
        <w:spacing w:after="80" w:before="140" w:line="252" w:lineRule="auto"/>
      </w:pPr>
      <w:r>
        <w:rPr>
          <w:rFonts w:ascii="Arial" w:hAnsi="Arial"/>
          <w:b/>
          <w:i w:val="0"/>
          <w:color w:val="145A32"/>
          <w:sz w:val="26"/>
        </w:rPr>
        <w:t>DOCUMENT CONTROL</w:t>
      </w:r>
    </w:p>
    <w:p>
      <w:pPr>
        <w:spacing w:after="80" w:before="0" w:line="252" w:lineRule="auto"/>
      </w:pPr>
      <w:r>
        <w:rPr>
          <w:rFonts w:ascii="Arial" w:hAnsi="Arial"/>
          <w:b w:val="0"/>
          <w:i w:val="0"/>
          <w:sz w:val="20"/>
        </w:rPr>
        <w:t>Version: 1.0 | Prepared and Board-approved: 10 September 2026 | Resolution reference: To be entered in the approval register | Effective date: To be recorded where applicable | Next review: To be recorded</w:t>
      </w:r>
    </w:p>
    <w:p>
      <w:pPr>
        <w:spacing w:after="80" w:before="140" w:line="252" w:lineRule="auto"/>
      </w:pPr>
      <w:r>
        <w:rPr>
          <w:rFonts w:ascii="Arial" w:hAnsi="Arial"/>
          <w:b/>
          <w:i w:val="0"/>
          <w:color w:val="145A32"/>
          <w:sz w:val="26"/>
        </w:rPr>
        <w:t>1. STATUS</w:t>
      </w:r>
    </w:p>
    <w:p>
      <w:pPr>
        <w:spacing w:after="80" w:before="0" w:line="252" w:lineRule="auto"/>
      </w:pPr>
      <w:r>
        <w:rPr>
          <w:rFonts w:ascii="Arial" w:hAnsi="Arial"/>
          <w:b w:val="0"/>
          <w:i w:val="0"/>
          <w:sz w:val="20"/>
        </w:rPr>
        <w:t>This manual is Board-approved on 10 September 2026. The organisation’s privacy and PAIA contact is info@africansolidaritycivic.org; formal Information Officer registration details are maintained in the organisation’s records.</w:t>
      </w:r>
    </w:p>
    <w:p>
      <w:pPr>
        <w:spacing w:after="80" w:before="140" w:line="252" w:lineRule="auto"/>
      </w:pPr>
      <w:r>
        <w:rPr>
          <w:rFonts w:ascii="Arial" w:hAnsi="Arial"/>
          <w:b/>
          <w:i w:val="0"/>
          <w:color w:val="145A32"/>
          <w:sz w:val="26"/>
        </w:rPr>
        <w:t>2. RESPONSIBLE BODY</w:t>
      </w:r>
    </w:p>
    <w:p>
      <w:pPr>
        <w:spacing w:after="80" w:before="0" w:line="252" w:lineRule="auto"/>
      </w:pPr>
      <w:r>
        <w:rPr>
          <w:rFonts w:ascii="Arial" w:hAnsi="Arial"/>
          <w:b w:val="0"/>
          <w:i w:val="0"/>
          <w:sz w:val="20"/>
        </w:rPr>
        <w:t>African Solidarity Civic Organisation NPC, 49 Rif Road, Manor Gardens, Durban, KwaZulu-Natal, 4001, South Africa. Information Officer contact: info@africansolidaritycivic.org; formal designation details are maintained in the organisation’s records.</w:t>
      </w:r>
    </w:p>
    <w:p>
      <w:pPr>
        <w:spacing w:after="80" w:before="140" w:line="252" w:lineRule="auto"/>
      </w:pPr>
      <w:r>
        <w:rPr>
          <w:rFonts w:ascii="Arial" w:hAnsi="Arial"/>
          <w:b/>
          <w:i w:val="0"/>
          <w:color w:val="145A32"/>
          <w:sz w:val="26"/>
        </w:rPr>
        <w:t>3. RECORD CATEGORIES</w:t>
      </w:r>
    </w:p>
    <w:p>
      <w:pPr>
        <w:spacing w:after="80" w:before="0" w:line="252" w:lineRule="auto"/>
      </w:pPr>
      <w:r>
        <w:rPr>
          <w:rFonts w:ascii="Arial" w:hAnsi="Arial"/>
          <w:b w:val="0"/>
          <w:i w:val="0"/>
          <w:sz w:val="20"/>
        </w:rPr>
        <w:t>Corporate records; governance records; policies; financial records; donor and grant records; programme records; employment and volunteer records; membership records; personal information records; contracts and correspondence, subject to lawful restrictions.</w:t>
      </w:r>
    </w:p>
    <w:p>
      <w:pPr>
        <w:spacing w:after="80" w:before="140" w:line="252" w:lineRule="auto"/>
      </w:pPr>
      <w:r>
        <w:rPr>
          <w:rFonts w:ascii="Arial" w:hAnsi="Arial"/>
          <w:b/>
          <w:i w:val="0"/>
          <w:color w:val="145A32"/>
          <w:sz w:val="26"/>
        </w:rPr>
        <w:t>4. AUTOMATICALLY AVAILABLE INFORMATION</w:t>
      </w:r>
    </w:p>
    <w:p>
      <w:pPr>
        <w:spacing w:after="80" w:before="0" w:line="252" w:lineRule="auto"/>
      </w:pPr>
      <w:r>
        <w:rPr>
          <w:rFonts w:ascii="Arial" w:hAnsi="Arial"/>
          <w:b w:val="0"/>
          <w:i w:val="0"/>
          <w:sz w:val="20"/>
        </w:rPr>
        <w:t>Public website content, current public governance documents, approved public policies and reports published in the document library.</w:t>
      </w:r>
    </w:p>
    <w:p>
      <w:pPr>
        <w:spacing w:after="80" w:before="140" w:line="252" w:lineRule="auto"/>
      </w:pPr>
      <w:r>
        <w:rPr>
          <w:rFonts w:ascii="Arial" w:hAnsi="Arial"/>
          <w:b/>
          <w:i w:val="0"/>
          <w:color w:val="145A32"/>
          <w:sz w:val="26"/>
        </w:rPr>
        <w:t>5. REQUEST PROCESS</w:t>
      </w:r>
    </w:p>
    <w:p>
      <w:pPr>
        <w:spacing w:after="80" w:before="0" w:line="252" w:lineRule="auto"/>
      </w:pPr>
      <w:r>
        <w:rPr>
          <w:rFonts w:ascii="Arial" w:hAnsi="Arial"/>
          <w:b w:val="0"/>
          <w:i w:val="0"/>
          <w:sz w:val="20"/>
        </w:rPr>
        <w:t>Requests must be submitted through the designated access email or address using the prescribed PAIA process. Applicable fees, identification, response periods, refusal grounds and appeal/remedy routes must be stated in the final approved manual.</w:t>
      </w:r>
    </w:p>
    <w:p>
      <w:pPr>
        <w:spacing w:after="80" w:before="140" w:line="252" w:lineRule="auto"/>
      </w:pPr>
      <w:r>
        <w:rPr>
          <w:rFonts w:ascii="Arial" w:hAnsi="Arial"/>
          <w:b/>
          <w:i w:val="0"/>
          <w:color w:val="145A32"/>
          <w:sz w:val="26"/>
        </w:rPr>
        <w:t>6. POPIA</w:t>
      </w:r>
    </w:p>
    <w:p>
      <w:pPr>
        <w:spacing w:after="80" w:before="0" w:line="252" w:lineRule="auto"/>
      </w:pPr>
      <w:r>
        <w:rPr>
          <w:rFonts w:ascii="Arial" w:hAnsi="Arial"/>
          <w:b w:val="0"/>
          <w:i w:val="0"/>
          <w:sz w:val="20"/>
        </w:rPr>
        <w:t>Personal-information requests and complaints are handled under POPIA and applicable Information Regulator requirements.</w:t>
      </w:r>
    </w:p>
    <w:p>
      <w:r>
        <w:br/>
      </w:r>
    </w:p>
    <w:p>
      <w:r>
        <w:rPr>
          <w:rFonts w:ascii="Arial" w:hAnsi="Arial"/>
          <w:i/>
          <w:sz w:val="17"/>
        </w:rPr>
        <w:t>Place of approval / execution: 49 Rif Road, Manor Gardens, Durban, KwaZulu-Natal, 4001, South Africa</w:t>
      </w:r>
    </w:p>
    <w:p>
      <w:r>
        <w:rPr>
          <w:rFonts w:ascii="Arial" w:hAnsi="Arial"/>
          <w:b/>
          <w:color w:val="145A32"/>
          <w:sz w:val="24"/>
        </w:rPr>
        <w:t>BOARD APPROVAL SIGNATURES</w:t>
      </w:r>
    </w:p>
    <w:p>
      <w:r>
        <w:rPr>
          <w:rFonts w:ascii="Arial" w:hAnsi="Arial"/>
          <w:i/>
          <w:sz w:val="17"/>
        </w:rPr>
        <w:t>The following signatures are copied from the signed ASCO documents supplied for this purpose. They record Board approval/acknowledgement in the stated capacities; statutory effectiveness, filing and authority remain subject to the applicable approval and filing process.</w:t>
      </w:r>
    </w:p>
    <w:tbl>
      <w:tblPr>
        <w:tblStyle w:val="TableGrid"/>
        <w:tblW w:type="auto" w:w="0"/>
        <w:jc w:val="center"/>
        <w:tblLook w:firstColumn="1" w:firstRow="1" w:lastColumn="0" w:lastRow="0" w:noHBand="0" w:noVBand="1" w:val="04A0"/>
      </w:tblPr>
      <w:tblGrid>
        <w:gridCol w:w="4513"/>
        <w:gridCol w:w="4513"/>
      </w:tblGrid>
      <w:tr>
        <w:tc>
          <w:tcPr>
            <w:tcW w:type="dxa" w:w="4513"/>
            <w:shd w:fill="EAF2EC"/>
            <w:vAlign w:val="center"/>
          </w:tcPr>
          <w:p>
            <w:pPr>
              <w:spacing w:after="40"/>
            </w:pPr>
            <w:r/>
            <w:r>
              <w:rPr>
                <w:rFonts w:ascii="Arial" w:hAnsi="Arial"/>
                <w:b/>
                <w:color w:val="145A32"/>
                <w:sz w:val="16"/>
              </w:rPr>
              <w:t>CHAIRPERSON / FOUNDER</w:t>
            </w:r>
          </w:p>
          <w:p>
            <w:pPr>
              <w:spacing w:after="20"/>
            </w:pPr>
            <w:r>
              <w:rPr>
                <w:rFonts w:ascii="Arial" w:hAnsi="Arial"/>
                <w:b/>
                <w:sz w:val="18"/>
              </w:rPr>
              <w:t>Ms Busisiwe Makhosi Shandu</w:t>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ICT AND COMMUNICATIONS</w:t>
            </w:r>
          </w:p>
          <w:p>
            <w:pPr>
              <w:spacing w:after="20"/>
            </w:pPr>
            <w:r>
              <w:rPr>
                <w:rFonts w:ascii="Arial" w:hAnsi="Arial"/>
                <w:b/>
                <w:sz w:val="18"/>
              </w:rPr>
              <w:t>Mr Thapelo Nelson Maqalika</w:t>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r>
        <w:tc>
          <w:tcPr>
            <w:tcW w:type="dxa" w:w="4513"/>
            <w:shd w:fill="EAF2EC"/>
            <w:vAlign w:val="center"/>
          </w:tcPr>
          <w:p>
            <w:pPr>
              <w:spacing w:after="40"/>
            </w:pPr>
            <w:r/>
            <w:r>
              <w:rPr>
                <w:rFonts w:ascii="Arial" w:hAnsi="Arial"/>
                <w:b/>
                <w:color w:val="145A32"/>
                <w:sz w:val="16"/>
              </w:rPr>
              <w:t>EXECUTIVE DIRECTOR</w:t>
            </w:r>
          </w:p>
          <w:p>
            <w:pPr>
              <w:spacing w:after="20"/>
            </w:pPr>
            <w:r>
              <w:rPr>
                <w:rFonts w:ascii="Arial" w:hAnsi="Arial"/>
                <w:b/>
                <w:sz w:val="18"/>
              </w:rPr>
              <w:t>Mr Bhekisisa Shandu</w:t>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PEOPLE AND CULTURE / FINANCE AND PROCUREMENT</w:t>
            </w:r>
          </w:p>
          <w:p>
            <w:pPr>
              <w:spacing w:after="20"/>
            </w:pPr>
            <w:r>
              <w:rPr>
                <w:rFonts w:ascii="Arial" w:hAnsi="Arial"/>
                <w:b/>
                <w:sz w:val="18"/>
              </w:rPr>
              <w:t>Mr Khulekani Gumede</w:t>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  |  OFFICIAL </w:t>
    </w:r>
    <w:r>
      <w:rPr>
        <w:color w:val="145A32"/>
        <w:sz w:val="16"/>
      </w:rPr>
      <w:t>PAIA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PAIA Manual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