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line="252" w:lineRule="auto"/>
        <w:jc w:val="center"/>
      </w:pPr>
      <w:r>
        <w:rPr>
          <w:rFonts w:ascii="Arial" w:hAnsi="Arial"/>
          <w:b/>
          <w:i w:val="0"/>
          <w:color w:val="145A32"/>
          <w:sz w:val="30"/>
        </w:rPr>
        <w:t>AFRICAN SOLIDARITY CIVIC ORGANISATION NPC (ASCO)</w:t>
      </w:r>
    </w:p>
    <w:p>
      <w:pPr>
        <w:spacing w:after="100" w:before="0" w:line="252" w:lineRule="auto"/>
        <w:jc w:val="center"/>
      </w:pPr>
      <w:r>
        <w:rPr>
          <w:rFonts w:ascii="Arial" w:hAnsi="Arial"/>
          <w:b/>
          <w:i w:val="0"/>
          <w:color w:val="145A32"/>
          <w:sz w:val="26"/>
        </w:rPr>
        <w:t>POLICY FRAMEWORK</w:t>
      </w:r>
    </w:p>
    <w:p>
      <w:pPr>
        <w:spacing w:after="100" w:before="0" w:line="252" w:lineRule="auto"/>
        <w:jc w:val="center"/>
      </w:pPr>
      <w:r>
        <w:rPr>
          <w:rFonts w:ascii="Arial" w:hAnsi="Arial"/>
          <w:b w:val="0"/>
          <w:i w:val="0"/>
          <w:color w:val="145A32"/>
          <w:sz w:val="21"/>
        </w:rPr>
        <w:t>BOARD-APPROVED POLICY GOVERNANCE — FINAL-FORM DRAFT</w:t>
      </w:r>
    </w:p>
    <w:p>
      <w:pPr>
        <w:spacing w:after="200" w:before="0" w:line="252" w:lineRule="auto"/>
        <w:jc w:val="center"/>
      </w:pPr>
      <w:r>
        <w:rPr>
          <w:rFonts w:ascii="Arial" w:hAnsi="Arial"/>
          <w:b/>
          <w:i w:val="0"/>
          <w:color w:val="145A32"/>
          <w:sz w:val="19"/>
        </w:rPr>
        <w:t>FINAL DOCUMENTATION — BOARD APPROVED; EXECUTION / FILING DETAILS TO BE RECORDED</w:t>
      </w:r>
    </w:p>
    <w:p>
      <w:pPr>
        <w:spacing w:after="200" w:before="0" w:line="252" w:lineRule="auto"/>
        <w:jc w:val="center"/>
      </w:pPr>
      <w:r>
        <w:rPr>
          <w:rFonts w:ascii="Arial" w:hAnsi="Arial"/>
          <w:b w:val="0"/>
          <w:i/>
          <w:sz w:val="18"/>
        </w:rPr>
        <w:t>This document records the Board-approved ASCO governance model and policy position. Legal effectiveness, execution, statutory-register updates and filing or registration requirements must be completed by the authorised persons and recorded in the approval register. The Memorandum of Incorporation remains subject to the Companies Act 71 of 2008 and applicable filing requirements.</w:t>
      </w:r>
    </w:p>
    <w:p>
      <w:pPr>
        <w:spacing w:after="80" w:before="140" w:line="252" w:lineRule="auto"/>
      </w:pPr>
      <w:r>
        <w:rPr>
          <w:rFonts w:ascii="Arial" w:hAnsi="Arial"/>
          <w:b/>
          <w:i w:val="0"/>
          <w:color w:val="145A32"/>
          <w:sz w:val="26"/>
        </w:rPr>
        <w:t>DOCUMENT CONTROL</w:t>
      </w:r>
    </w:p>
    <w:p>
      <w:pPr>
        <w:spacing w:after="80" w:before="0" w:line="252" w:lineRule="auto"/>
      </w:pPr>
      <w:r>
        <w:rPr>
          <w:rFonts w:ascii="Arial" w:hAnsi="Arial"/>
          <w:b w:val="0"/>
          <w:i w:val="0"/>
          <w:sz w:val="20"/>
        </w:rPr>
        <w:t>Version: 1.0 | Prepared and Board-approved: 10 September 2026 | Resolution reference: To be entered in the approval register | Effective date: To be recorded where applicable | Next review: To be recorded</w:t>
      </w:r>
    </w:p>
    <w:p>
      <w:pPr>
        <w:spacing w:after="80" w:before="140" w:line="252" w:lineRule="auto"/>
      </w:pPr>
      <w:r>
        <w:rPr>
          <w:rFonts w:ascii="Arial" w:hAnsi="Arial"/>
          <w:b/>
          <w:i w:val="0"/>
          <w:color w:val="145A32"/>
          <w:sz w:val="26"/>
        </w:rPr>
        <w:t>1. PURPOSE AND AUTHORITY</w:t>
      </w:r>
    </w:p>
    <w:p>
      <w:pPr>
        <w:spacing w:after="80" w:before="0" w:line="252" w:lineRule="auto"/>
      </w:pPr>
      <w:r>
        <w:rPr>
          <w:rFonts w:ascii="Arial" w:hAnsi="Arial"/>
          <w:b w:val="0"/>
          <w:i w:val="0"/>
          <w:sz w:val="20"/>
        </w:rPr>
        <w:t>This Policy Framework establishes the hierarchy, ownership, approval and review process for ASCO policies. The Board of Directors is the approval body unless lawful delegation or the MOI requires another process.</w:t>
      </w:r>
    </w:p>
    <w:p>
      <w:pPr>
        <w:spacing w:after="80" w:before="140" w:line="252" w:lineRule="auto"/>
      </w:pPr>
      <w:r>
        <w:rPr>
          <w:rFonts w:ascii="Arial" w:hAnsi="Arial"/>
          <w:b/>
          <w:i w:val="0"/>
          <w:color w:val="145A32"/>
          <w:sz w:val="26"/>
        </w:rPr>
        <w:t>2. POLICY DEVELOPMENT</w:t>
      </w:r>
    </w:p>
    <w:p>
      <w:pPr>
        <w:spacing w:after="80" w:before="0" w:line="252" w:lineRule="auto"/>
      </w:pPr>
      <w:r>
        <w:rPr>
          <w:rFonts w:ascii="Arial" w:hAnsi="Arial"/>
          <w:b w:val="0"/>
          <w:i w:val="0"/>
          <w:sz w:val="20"/>
        </w:rPr>
        <w:t>Policies are drafted by the Executive Director or delegated policy owner, reviewed for legal, operational, safeguarding, financial and privacy implications, and submitted to the Board for approval by recorded resolution.</w:t>
      </w:r>
    </w:p>
    <w:p>
      <w:pPr>
        <w:spacing w:after="80" w:before="140" w:line="252" w:lineRule="auto"/>
      </w:pPr>
      <w:r>
        <w:rPr>
          <w:rFonts w:ascii="Arial" w:hAnsi="Arial"/>
          <w:b/>
          <w:i w:val="0"/>
          <w:color w:val="145A32"/>
          <w:sz w:val="26"/>
        </w:rPr>
        <w:t>3. DOCUMENT CONTROL</w:t>
      </w:r>
    </w:p>
    <w:p>
      <w:pPr>
        <w:spacing w:after="80" w:before="0" w:line="252" w:lineRule="auto"/>
      </w:pPr>
      <w:r>
        <w:rPr>
          <w:rFonts w:ascii="Arial" w:hAnsi="Arial"/>
          <w:b w:val="0"/>
          <w:i w:val="0"/>
          <w:sz w:val="20"/>
        </w:rPr>
        <w:t>Every policy must display owner, version, approval authority and resolution, approval date, effective date, next review date and superseded version. A policy cannot be labelled approved without a recorded approval.</w:t>
      </w:r>
    </w:p>
    <w:p>
      <w:pPr>
        <w:spacing w:after="80" w:before="140" w:line="252" w:lineRule="auto"/>
      </w:pPr>
      <w:r>
        <w:rPr>
          <w:rFonts w:ascii="Arial" w:hAnsi="Arial"/>
          <w:b/>
          <w:i w:val="0"/>
          <w:color w:val="145A32"/>
          <w:sz w:val="26"/>
        </w:rPr>
        <w:t>4. POLICY REGISTER</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r>
              <w:rPr>
                <w:rFonts w:ascii="Arial" w:hAnsi="Arial"/>
                <w:b/>
                <w:color w:val="145A32"/>
                <w:sz w:val="17"/>
              </w:rPr>
              <w:t>Policy</w:t>
            </w:r>
          </w:p>
        </w:tc>
        <w:tc>
          <w:tcPr>
            <w:tcW w:type="dxa" w:w="3009"/>
            <w:vAlign w:val="center"/>
          </w:tcPr>
          <w:p>
            <w:r>
              <w:rPr>
                <w:rFonts w:ascii="Arial" w:hAnsi="Arial"/>
                <w:b/>
                <w:color w:val="145A32"/>
                <w:sz w:val="17"/>
              </w:rPr>
              <w:t>Owner / approval</w:t>
            </w:r>
          </w:p>
        </w:tc>
        <w:tc>
          <w:tcPr>
            <w:tcW w:type="dxa" w:w="3009"/>
            <w:vAlign w:val="center"/>
          </w:tcPr>
          <w:p>
            <w:r>
              <w:rPr>
                <w:rFonts w:ascii="Arial" w:hAnsi="Arial"/>
                <w:b/>
                <w:color w:val="145A32"/>
                <w:sz w:val="17"/>
              </w:rPr>
              <w:t>Review</w:t>
            </w:r>
          </w:p>
        </w:tc>
      </w:tr>
      <w:tr>
        <w:tc>
          <w:tcPr>
            <w:tcW w:type="dxa" w:w="3009"/>
            <w:vAlign w:val="center"/>
          </w:tcPr>
          <w:p>
            <w:pPr>
              <w:spacing w:after="40"/>
            </w:pPr>
            <w:r>
              <w:rPr>
                <w:rFonts w:ascii="Arial" w:hAnsi="Arial"/>
                <w:sz w:val="16"/>
              </w:rPr>
              <w:t>Conflict of Interest</w:t>
            </w:r>
          </w:p>
        </w:tc>
        <w:tc>
          <w:tcPr>
            <w:tcW w:type="dxa" w:w="3009"/>
            <w:vAlign w:val="center"/>
          </w:tcPr>
          <w:p>
            <w:pPr>
              <w:spacing w:after="40"/>
            </w:pPr>
            <w:r>
              <w:rPr>
                <w:rFonts w:ascii="Arial" w:hAnsi="Arial"/>
                <w:sz w:val="16"/>
              </w:rPr>
              <w:t>Board / Board Secretary</w:t>
            </w:r>
          </w:p>
        </w:tc>
        <w:tc>
          <w:tcPr>
            <w:tcW w:type="dxa" w:w="3009"/>
            <w:vAlign w:val="center"/>
          </w:tcPr>
          <w:p>
            <w:pPr>
              <w:spacing w:after="40"/>
            </w:pPr>
            <w:r>
              <w:rPr>
                <w:rFonts w:ascii="Arial" w:hAnsi="Arial"/>
                <w:sz w:val="16"/>
              </w:rPr>
              <w:t>Annual declarations; full review 24 months.</w:t>
            </w:r>
          </w:p>
        </w:tc>
      </w:tr>
      <w:tr>
        <w:tc>
          <w:tcPr>
            <w:tcW w:type="dxa" w:w="3009"/>
            <w:vAlign w:val="center"/>
          </w:tcPr>
          <w:p>
            <w:pPr>
              <w:spacing w:after="40"/>
            </w:pPr>
            <w:r>
              <w:rPr>
                <w:rFonts w:ascii="Arial" w:hAnsi="Arial"/>
                <w:sz w:val="16"/>
              </w:rPr>
              <w:t>Anti-Corruption and Anti-Fraud</w:t>
            </w:r>
          </w:p>
        </w:tc>
        <w:tc>
          <w:tcPr>
            <w:tcW w:type="dxa" w:w="3009"/>
            <w:vAlign w:val="center"/>
          </w:tcPr>
          <w:p>
            <w:pPr>
              <w:spacing w:after="40"/>
            </w:pPr>
            <w:r>
              <w:rPr>
                <w:rFonts w:ascii="Arial" w:hAnsi="Arial"/>
                <w:sz w:val="16"/>
              </w:rPr>
              <w:t>Board / Executive Director</w:t>
            </w:r>
          </w:p>
        </w:tc>
        <w:tc>
          <w:tcPr>
            <w:tcW w:type="dxa" w:w="3009"/>
            <w:vAlign w:val="center"/>
          </w:tcPr>
          <w:p>
            <w:pPr>
              <w:spacing w:after="40"/>
            </w:pPr>
            <w:r>
              <w:rPr>
                <w:rFonts w:ascii="Arial" w:hAnsi="Arial"/>
                <w:sz w:val="16"/>
              </w:rPr>
              <w:t>24 months or after incident.</w:t>
            </w:r>
          </w:p>
        </w:tc>
      </w:tr>
      <w:tr>
        <w:tc>
          <w:tcPr>
            <w:tcW w:type="dxa" w:w="3009"/>
            <w:vAlign w:val="center"/>
          </w:tcPr>
          <w:p>
            <w:pPr>
              <w:spacing w:after="40"/>
            </w:pPr>
            <w:r>
              <w:rPr>
                <w:rFonts w:ascii="Arial" w:hAnsi="Arial"/>
                <w:sz w:val="16"/>
              </w:rPr>
              <w:t>Finance and Procurement</w:t>
            </w:r>
          </w:p>
        </w:tc>
        <w:tc>
          <w:tcPr>
            <w:tcW w:type="dxa" w:w="3009"/>
            <w:vAlign w:val="center"/>
          </w:tcPr>
          <w:p>
            <w:pPr>
              <w:spacing w:after="40"/>
            </w:pPr>
            <w:r>
              <w:rPr>
                <w:rFonts w:ascii="Arial" w:hAnsi="Arial"/>
                <w:sz w:val="16"/>
              </w:rPr>
              <w:t>Board / Finance Committee</w:t>
            </w:r>
          </w:p>
        </w:tc>
        <w:tc>
          <w:tcPr>
            <w:tcW w:type="dxa" w:w="3009"/>
            <w:vAlign w:val="center"/>
          </w:tcPr>
          <w:p>
            <w:pPr>
              <w:spacing w:after="40"/>
            </w:pPr>
            <w:r>
              <w:rPr>
                <w:rFonts w:ascii="Arial" w:hAnsi="Arial"/>
                <w:sz w:val="16"/>
              </w:rPr>
              <w:t>Annual.</w:t>
            </w:r>
          </w:p>
        </w:tc>
      </w:tr>
      <w:tr>
        <w:tc>
          <w:tcPr>
            <w:tcW w:type="dxa" w:w="3009"/>
            <w:vAlign w:val="center"/>
          </w:tcPr>
          <w:p>
            <w:pPr>
              <w:spacing w:after="40"/>
            </w:pPr>
            <w:r>
              <w:rPr>
                <w:rFonts w:ascii="Arial" w:hAnsi="Arial"/>
                <w:sz w:val="16"/>
              </w:rPr>
              <w:t>Safeguarding</w:t>
            </w:r>
          </w:p>
        </w:tc>
        <w:tc>
          <w:tcPr>
            <w:tcW w:type="dxa" w:w="3009"/>
            <w:vAlign w:val="center"/>
          </w:tcPr>
          <w:p>
            <w:pPr>
              <w:spacing w:after="40"/>
            </w:pPr>
            <w:r>
              <w:rPr>
                <w:rFonts w:ascii="Arial" w:hAnsi="Arial"/>
                <w:sz w:val="16"/>
              </w:rPr>
              <w:t>Board / Safeguarding Lead</w:t>
            </w:r>
          </w:p>
        </w:tc>
        <w:tc>
          <w:tcPr>
            <w:tcW w:type="dxa" w:w="3009"/>
            <w:vAlign w:val="center"/>
          </w:tcPr>
          <w:p>
            <w:pPr>
              <w:spacing w:after="40"/>
            </w:pPr>
            <w:r>
              <w:rPr>
                <w:rFonts w:ascii="Arial" w:hAnsi="Arial"/>
                <w:sz w:val="16"/>
              </w:rPr>
              <w:t>Annual.</w:t>
            </w:r>
          </w:p>
        </w:tc>
      </w:tr>
      <w:tr>
        <w:tc>
          <w:tcPr>
            <w:tcW w:type="dxa" w:w="3009"/>
            <w:vAlign w:val="center"/>
          </w:tcPr>
          <w:p>
            <w:pPr>
              <w:spacing w:after="40"/>
            </w:pPr>
            <w:r>
              <w:rPr>
                <w:rFonts w:ascii="Arial" w:hAnsi="Arial"/>
                <w:sz w:val="16"/>
              </w:rPr>
              <w:t>Complaints and Whistleblowing</w:t>
            </w:r>
          </w:p>
        </w:tc>
        <w:tc>
          <w:tcPr>
            <w:tcW w:type="dxa" w:w="3009"/>
            <w:vAlign w:val="center"/>
          </w:tcPr>
          <w:p>
            <w:pPr>
              <w:spacing w:after="40"/>
            </w:pPr>
            <w:r>
              <w:rPr>
                <w:rFonts w:ascii="Arial" w:hAnsi="Arial"/>
                <w:sz w:val="16"/>
              </w:rPr>
              <w:t>Board / designated channel owner</w:t>
            </w:r>
          </w:p>
        </w:tc>
        <w:tc>
          <w:tcPr>
            <w:tcW w:type="dxa" w:w="3009"/>
            <w:vAlign w:val="center"/>
          </w:tcPr>
          <w:p>
            <w:pPr>
              <w:spacing w:after="40"/>
            </w:pPr>
            <w:r>
              <w:rPr>
                <w:rFonts w:ascii="Arial" w:hAnsi="Arial"/>
                <w:sz w:val="16"/>
              </w:rPr>
              <w:t>24 months.</w:t>
            </w:r>
          </w:p>
        </w:tc>
      </w:tr>
      <w:tr>
        <w:tc>
          <w:tcPr>
            <w:tcW w:type="dxa" w:w="3009"/>
            <w:vAlign w:val="center"/>
          </w:tcPr>
          <w:p>
            <w:pPr>
              <w:spacing w:after="40"/>
            </w:pPr>
            <w:r>
              <w:rPr>
                <w:rFonts w:ascii="Arial" w:hAnsi="Arial"/>
                <w:sz w:val="16"/>
              </w:rPr>
              <w:t>Data Protection and Privacy</w:t>
            </w:r>
          </w:p>
        </w:tc>
        <w:tc>
          <w:tcPr>
            <w:tcW w:type="dxa" w:w="3009"/>
            <w:vAlign w:val="center"/>
          </w:tcPr>
          <w:p>
            <w:pPr>
              <w:spacing w:after="40"/>
            </w:pPr>
            <w:r>
              <w:rPr>
                <w:rFonts w:ascii="Arial" w:hAnsi="Arial"/>
                <w:sz w:val="16"/>
              </w:rPr>
              <w:t>Board / Information Officer when designated</w:t>
            </w:r>
          </w:p>
        </w:tc>
        <w:tc>
          <w:tcPr>
            <w:tcW w:type="dxa" w:w="3009"/>
            <w:vAlign w:val="center"/>
          </w:tcPr>
          <w:p>
            <w:pPr>
              <w:spacing w:after="40"/>
            </w:pPr>
            <w:r>
              <w:rPr>
                <w:rFonts w:ascii="Arial" w:hAnsi="Arial"/>
                <w:sz w:val="16"/>
              </w:rPr>
              <w:t>24 months or legal change.</w:t>
            </w:r>
          </w:p>
        </w:tc>
      </w:tr>
      <w:tr>
        <w:tc>
          <w:tcPr>
            <w:tcW w:type="dxa" w:w="3009"/>
            <w:vAlign w:val="center"/>
          </w:tcPr>
          <w:p>
            <w:pPr>
              <w:spacing w:after="40"/>
            </w:pPr>
            <w:r>
              <w:rPr>
                <w:rFonts w:ascii="Arial" w:hAnsi="Arial"/>
                <w:sz w:val="16"/>
              </w:rPr>
              <w:t>Monitoring and Evaluation</w:t>
            </w:r>
          </w:p>
        </w:tc>
        <w:tc>
          <w:tcPr>
            <w:tcW w:type="dxa" w:w="3009"/>
            <w:vAlign w:val="center"/>
          </w:tcPr>
          <w:p>
            <w:pPr>
              <w:spacing w:after="40"/>
            </w:pPr>
            <w:r>
              <w:rPr>
                <w:rFonts w:ascii="Arial" w:hAnsi="Arial"/>
                <w:sz w:val="16"/>
              </w:rPr>
              <w:t>Board / Executive Director</w:t>
            </w:r>
          </w:p>
        </w:tc>
        <w:tc>
          <w:tcPr>
            <w:tcW w:type="dxa" w:w="3009"/>
            <w:vAlign w:val="center"/>
          </w:tcPr>
          <w:p>
            <w:pPr>
              <w:spacing w:after="40"/>
            </w:pPr>
            <w:r>
              <w:rPr>
                <w:rFonts w:ascii="Arial" w:hAnsi="Arial"/>
                <w:sz w:val="16"/>
              </w:rPr>
              <w:t>Annual.</w:t>
            </w:r>
          </w:p>
        </w:tc>
      </w:tr>
      <w:tr>
        <w:tc>
          <w:tcPr>
            <w:tcW w:type="dxa" w:w="3009"/>
            <w:vAlign w:val="center"/>
          </w:tcPr>
          <w:p>
            <w:pPr>
              <w:spacing w:after="40"/>
            </w:pPr>
            <w:r>
              <w:rPr>
                <w:rFonts w:ascii="Arial" w:hAnsi="Arial"/>
                <w:sz w:val="16"/>
              </w:rPr>
              <w:t>Risk Management</w:t>
            </w:r>
          </w:p>
        </w:tc>
        <w:tc>
          <w:tcPr>
            <w:tcW w:type="dxa" w:w="3009"/>
            <w:vAlign w:val="center"/>
          </w:tcPr>
          <w:p>
            <w:pPr>
              <w:spacing w:after="40"/>
            </w:pPr>
            <w:r>
              <w:rPr>
                <w:rFonts w:ascii="Arial" w:hAnsi="Arial"/>
                <w:sz w:val="16"/>
              </w:rPr>
              <w:t>Board / Executive Director</w:t>
            </w:r>
          </w:p>
        </w:tc>
        <w:tc>
          <w:tcPr>
            <w:tcW w:type="dxa" w:w="3009"/>
            <w:vAlign w:val="center"/>
          </w:tcPr>
          <w:p>
            <w:pPr>
              <w:spacing w:after="40"/>
            </w:pPr>
            <w:r>
              <w:rPr>
                <w:rFonts w:ascii="Arial" w:hAnsi="Arial"/>
                <w:sz w:val="16"/>
              </w:rPr>
              <w:t>Annual.</w:t>
            </w:r>
          </w:p>
        </w:tc>
      </w:tr>
      <w:tr>
        <w:tc>
          <w:tcPr>
            <w:tcW w:type="dxa" w:w="3009"/>
            <w:vAlign w:val="center"/>
          </w:tcPr>
          <w:p>
            <w:pPr>
              <w:spacing w:after="40"/>
            </w:pPr>
            <w:r>
              <w:rPr>
                <w:rFonts w:ascii="Arial" w:hAnsi="Arial"/>
                <w:sz w:val="16"/>
              </w:rPr>
              <w:t>Donations and Refunds</w:t>
            </w:r>
          </w:p>
        </w:tc>
        <w:tc>
          <w:tcPr>
            <w:tcW w:type="dxa" w:w="3009"/>
            <w:vAlign w:val="center"/>
          </w:tcPr>
          <w:p>
            <w:pPr>
              <w:spacing w:after="40"/>
            </w:pPr>
            <w:r>
              <w:rPr>
                <w:rFonts w:ascii="Arial" w:hAnsi="Arial"/>
                <w:sz w:val="16"/>
              </w:rPr>
              <w:t>Board / Finance Committee</w:t>
            </w:r>
          </w:p>
        </w:tc>
        <w:tc>
          <w:tcPr>
            <w:tcW w:type="dxa" w:w="3009"/>
            <w:vAlign w:val="center"/>
          </w:tcPr>
          <w:p>
            <w:pPr>
              <w:spacing w:after="40"/>
            </w:pPr>
            <w:r>
              <w:rPr>
                <w:rFonts w:ascii="Arial" w:hAnsi="Arial"/>
                <w:sz w:val="16"/>
              </w:rPr>
              <w:t>Annual.</w:t>
            </w:r>
          </w:p>
        </w:tc>
      </w:tr>
      <w:tr>
        <w:tc>
          <w:tcPr>
            <w:tcW w:type="dxa" w:w="3009"/>
            <w:vAlign w:val="center"/>
          </w:tcPr>
          <w:p>
            <w:pPr>
              <w:spacing w:after="40"/>
            </w:pPr>
            <w:r>
              <w:rPr>
                <w:rFonts w:ascii="Arial" w:hAnsi="Arial"/>
                <w:sz w:val="16"/>
              </w:rPr>
              <w:t>PAIA Manual</w:t>
            </w:r>
          </w:p>
        </w:tc>
        <w:tc>
          <w:tcPr>
            <w:tcW w:type="dxa" w:w="3009"/>
            <w:vAlign w:val="center"/>
          </w:tcPr>
          <w:p>
            <w:pPr>
              <w:spacing w:after="40"/>
            </w:pPr>
            <w:r>
              <w:rPr>
                <w:rFonts w:ascii="Arial" w:hAnsi="Arial"/>
                <w:sz w:val="16"/>
              </w:rPr>
              <w:t>Authorised Information Officer</w:t>
            </w:r>
          </w:p>
        </w:tc>
        <w:tc>
          <w:tcPr>
            <w:tcW w:type="dxa" w:w="3009"/>
            <w:vAlign w:val="center"/>
          </w:tcPr>
          <w:p>
            <w:pPr>
              <w:spacing w:after="40"/>
            </w:pPr>
            <w:r>
              <w:rPr>
                <w:rFonts w:ascii="Arial" w:hAnsi="Arial"/>
                <w:sz w:val="16"/>
              </w:rPr>
              <w:t>As required by law and at least annually.</w:t>
            </w:r>
          </w:p>
        </w:tc>
      </w:tr>
    </w:tbl>
    <w:p>
      <w:pPr>
        <w:spacing w:after="20"/>
      </w:pPr>
    </w:p>
    <w:p>
      <w:pPr>
        <w:spacing w:after="80" w:before="140" w:line="252" w:lineRule="auto"/>
      </w:pPr>
      <w:r>
        <w:rPr>
          <w:rFonts w:ascii="Arial" w:hAnsi="Arial"/>
          <w:b/>
          <w:i w:val="0"/>
          <w:color w:val="145A32"/>
          <w:sz w:val="26"/>
        </w:rPr>
        <w:t>5. PUBLICATION</w:t>
      </w:r>
    </w:p>
    <w:p>
      <w:pPr>
        <w:spacing w:after="80" w:before="0" w:line="252" w:lineRule="auto"/>
      </w:pPr>
      <w:r>
        <w:rPr>
          <w:rFonts w:ascii="Arial" w:hAnsi="Arial"/>
          <w:b w:val="0"/>
          <w:i w:val="0"/>
          <w:sz w:val="20"/>
        </w:rPr>
        <w:t>Approved public policies shall be published in the document library. Internal policies may be marked internal and made available on justified request. Public summaries must not be presented as legal instruments.</w:t>
      </w:r>
    </w:p>
    <w:p>
      <w:pPr>
        <w:spacing w:after="80" w:before="140" w:line="252" w:lineRule="auto"/>
      </w:pPr>
      <w:r>
        <w:rPr>
          <w:rFonts w:ascii="Arial" w:hAnsi="Arial"/>
          <w:b/>
          <w:i w:val="0"/>
          <w:color w:val="145A32"/>
          <w:sz w:val="26"/>
        </w:rPr>
        <w:t>6. REVIEW AND EXCEPTIONS</w:t>
      </w:r>
    </w:p>
    <w:p>
      <w:pPr>
        <w:spacing w:after="80" w:before="0" w:line="252" w:lineRule="auto"/>
      </w:pPr>
      <w:r>
        <w:rPr>
          <w:rFonts w:ascii="Arial" w:hAnsi="Arial"/>
          <w:b w:val="0"/>
          <w:i w:val="0"/>
          <w:sz w:val="20"/>
        </w:rPr>
        <w:t>A policy-specific review cycle prevails over a general cycle. Exceptions require Board approval and a recorded rationale.</w:t>
      </w:r>
    </w:p>
    <w:p>
      <w:r>
        <w:br/>
      </w:r>
    </w:p>
    <w:p>
      <w:r>
        <w:rPr>
          <w:rFonts w:ascii="Arial" w:hAnsi="Arial"/>
          <w:i/>
          <w:sz w:val="17"/>
        </w:rPr>
        <w:t>Place of approval / execution: 49 Rif Road, Manor Gardens, Durban, KwaZulu-Natal, 4001, South Africa</w:t>
      </w:r>
    </w:p>
    <w:p>
      <w:r>
        <w:rPr>
          <w:rFonts w:ascii="Arial" w:hAnsi="Arial"/>
          <w:b/>
          <w:color w:val="145A32"/>
          <w:sz w:val="24"/>
        </w:rPr>
        <w:t>BOARD APPROVAL SIGNATURES</w:t>
      </w:r>
    </w:p>
    <w:p>
      <w:r>
        <w:rPr>
          <w:rFonts w:ascii="Arial" w:hAnsi="Arial"/>
          <w:i/>
          <w:sz w:val="17"/>
        </w:rPr>
        <w:t>The following signatures are copied from the signed ASCO documents supplied for this purpose. They record Board approval/acknowledgement in the stated capacities; statutory effectiveness, filing and authority remain subject to the applicable approval and filing process.</w:t>
      </w:r>
    </w:p>
    <w:tbl>
      <w:tblPr>
        <w:tblStyle w:val="TableGrid"/>
        <w:tblW w:type="auto" w:w="0"/>
        <w:jc w:val="center"/>
        <w:tblLook w:firstColumn="1" w:firstRow="1" w:lastColumn="0" w:lastRow="0" w:noHBand="0" w:noVBand="1" w:val="04A0"/>
      </w:tblPr>
      <w:tblGrid>
        <w:gridCol w:w="4513"/>
        <w:gridCol w:w="4513"/>
      </w:tblGrid>
      <w:tr>
        <w:tc>
          <w:tcPr>
            <w:tcW w:type="dxa" w:w="4513"/>
            <w:shd w:fill="EAF2EC"/>
            <w:vAlign w:val="center"/>
          </w:tcPr>
          <w:p>
            <w:pPr>
              <w:spacing w:after="40"/>
            </w:pPr>
            <w:r/>
            <w:r>
              <w:rPr>
                <w:rFonts w:ascii="Arial" w:hAnsi="Arial"/>
                <w:b/>
                <w:color w:val="145A32"/>
                <w:sz w:val="16"/>
              </w:rPr>
              <w:t>CHAIRPERSON / FOUNDER</w:t>
            </w:r>
          </w:p>
          <w:p>
            <w:pPr>
              <w:spacing w:after="20"/>
            </w:pPr>
            <w:r>
              <w:rPr>
                <w:rFonts w:ascii="Arial" w:hAnsi="Arial"/>
                <w:b/>
                <w:sz w:val="18"/>
              </w:rPr>
              <w:t>Ms Busisiwe Makhosi Shandu</w:t>
            </w:r>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ICT AND COMMUNICATIONS</w:t>
            </w:r>
          </w:p>
          <w:p>
            <w:pPr>
              <w:spacing w:after="20"/>
            </w:pPr>
            <w:r>
              <w:rPr>
                <w:rFonts w:ascii="Arial" w:hAnsi="Arial"/>
                <w:b/>
                <w:sz w:val="18"/>
              </w:rPr>
              <w:t>Mr Thapelo Nelson Maqalika</w:t>
            </w:r>
          </w:p>
          <w:p>
            <w:pPr>
              <w:jc w:val="center"/>
            </w:pPr>
            <w:r>
              <w:drawing>
                <wp:inline xmlns:a="http://schemas.openxmlformats.org/drawingml/2006/main" xmlns:pic="http://schemas.openxmlformats.org/drawingml/2006/picture">
                  <wp:extent cx="1325880" cy="176784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25880" cy="176784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r>
        <w:tc>
          <w:tcPr>
            <w:tcW w:type="dxa" w:w="4513"/>
            <w:shd w:fill="EAF2EC"/>
            <w:vAlign w:val="center"/>
          </w:tcPr>
          <w:p>
            <w:pPr>
              <w:spacing w:after="40"/>
            </w:pPr>
            <w:r/>
            <w:r>
              <w:rPr>
                <w:rFonts w:ascii="Arial" w:hAnsi="Arial"/>
                <w:b/>
                <w:color w:val="145A32"/>
                <w:sz w:val="16"/>
              </w:rPr>
              <w:t>EXECUTIVE DIRECTOR</w:t>
            </w:r>
          </w:p>
          <w:p>
            <w:pPr>
              <w:spacing w:after="20"/>
            </w:pPr>
            <w:r>
              <w:rPr>
                <w:rFonts w:ascii="Arial" w:hAnsi="Arial"/>
                <w:b/>
                <w:sz w:val="18"/>
              </w:rPr>
              <w:t>Mr Bhekisisa Shandu</w:t>
            </w:r>
          </w:p>
          <w:p>
            <w:pPr>
              <w:jc w:val="center"/>
            </w:pPr>
            <w:r>
              <w:drawing>
                <wp:inline xmlns:a="http://schemas.openxmlformats.org/drawingml/2006/main" xmlns:pic="http://schemas.openxmlformats.org/drawingml/2006/picture">
                  <wp:extent cx="1325880" cy="132588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PEOPLE AND CULTURE / FINANCE AND PROCUREMENT</w:t>
            </w:r>
          </w:p>
          <w:p>
            <w:pPr>
              <w:spacing w:after="20"/>
            </w:pPr>
            <w:r>
              <w:rPr>
                <w:rFonts w:ascii="Arial" w:hAnsi="Arial"/>
                <w:b/>
                <w:sz w:val="18"/>
              </w:rPr>
              <w:t>Mr Khulekani Gumede</w:t>
            </w:r>
          </w:p>
          <w:p>
            <w:pPr>
              <w:jc w:val="center"/>
            </w:pPr>
            <w:r>
              <w:drawing>
                <wp:inline xmlns:a="http://schemas.openxmlformats.org/drawingml/2006/main" xmlns:pic="http://schemas.openxmlformats.org/drawingml/2006/picture">
                  <wp:extent cx="1325880" cy="139451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1394516"/>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  |  OFFICIAL </w:t>
    </w:r>
    <w:r>
      <w:rPr>
        <w:color w:val="145A32"/>
        <w:sz w:val="16"/>
      </w:rPr>
      <w:t>POLICY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FRAMEWORK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