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CODE OF CONDUCT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Code of Conduct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ASCO-GOV-002-2026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12 October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Board / Executive Director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 is an approved Public Benefit Organisation (SARS PBO Reference No. 930092287). ASCO’s Section 18A application remains pending; no Section 18A tax-deductible receipt may be issued until approval is granted.</w:t>
      </w:r>
    </w:p>
    <w:p>
      <w:r>
        <w:t>Updated: 2 October 2026 — PBO status and related current information harmonised.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Code sets standards for Directors, employees, volunteers, members, consultants, representatives and partners acting for ASCO.</w:t>
      </w:r>
    </w:p>
    <w:p>
      <w:pPr>
        <w:spacing w:before="200"/>
      </w:pPr>
      <w:r>
        <w:rPr>
          <w:b/>
          <w:color w:val="145A32"/>
          <w:sz w:val="28"/>
        </w:rPr>
        <w:t>2. Standards</w:t>
      </w:r>
    </w:p>
    <w:p>
      <w:pPr>
        <w:pStyle w:val="ListBullet"/>
        <w:spacing w:after="60"/>
      </w:pPr>
      <w:r>
        <w:t>Act lawfully, honestly, respectfully and in ASCO’s best interests.</w:t>
      </w:r>
    </w:p>
    <w:p>
      <w:pPr>
        <w:pStyle w:val="ListBullet"/>
        <w:spacing w:after="60"/>
      </w:pPr>
      <w:r>
        <w:t>Protect confidential, personal and safeguarding information.</w:t>
      </w:r>
    </w:p>
    <w:p>
      <w:pPr>
        <w:pStyle w:val="ListBullet"/>
        <w:spacing w:after="60"/>
      </w:pPr>
      <w:r>
        <w:t>Do not harass, exploit, discriminate, retaliate, defraud or abuse authority.</w:t>
      </w:r>
    </w:p>
    <w:p>
      <w:pPr>
        <w:pStyle w:val="ListBullet"/>
        <w:spacing w:after="60"/>
      </w:pPr>
      <w:r>
        <w:t>Declare conflicts and do not misuse ASCO property, name, funds or opportunities.</w:t>
      </w:r>
    </w:p>
    <w:p>
      <w:pPr>
        <w:pStyle w:val="ListBullet"/>
        <w:spacing w:after="60"/>
      </w:pPr>
      <w:r>
        <w:t>Follow the Board/Management separation and approved delegations.</w:t>
      </w:r>
    </w:p>
    <w:p>
      <w:pPr>
        <w:pStyle w:val="ListBullet"/>
        <w:spacing w:after="60"/>
      </w:pPr>
      <w:r>
        <w:t>Report suspected misconduct through info@africansolidaritycivic.org or the Safeguarding and Complaints Policy.</w:t>
      </w:r>
    </w:p>
    <w:p>
      <w:pPr>
        <w:spacing w:before="200"/>
      </w:pPr>
      <w:r>
        <w:rPr>
          <w:b/>
          <w:color w:val="145A32"/>
          <w:sz w:val="28"/>
        </w:rPr>
        <w:t>3. Accountability</w:t>
      </w:r>
    </w:p>
    <w:p>
      <w:pPr>
        <w:spacing w:after="120" w:line="276" w:lineRule="auto"/>
      </w:pPr>
      <w:r>
        <w:rPr>
          <w:sz w:val="21"/>
        </w:rPr>
        <w:t>Breaches may result in corrective action, removal from duties, disciplinary process, termination of engagement, referral to authorities or other lawful action.</w:t>
      </w:r>
    </w:p>
    <w:p>
      <w:pPr>
        <w:spacing w:before="200"/>
      </w:pPr>
      <w:r>
        <w:rPr>
          <w:b/>
          <w:color w:val="145A32"/>
          <w:sz w:val="28"/>
        </w:rPr>
        <w:t>4. Related instruments</w:t>
      </w:r>
    </w:p>
    <w:p>
      <w:pPr>
        <w:spacing w:after="120" w:line="276" w:lineRule="auto"/>
      </w:pPr>
      <w:r>
        <w:rPr>
          <w:sz w:val="21"/>
        </w:rPr>
        <w:t>Read with the Constitution, MOI, Board Charter, Delegation of Authority, Safeguarding and Complaints Policy, Privacy/POPIA Notice and donor procedures.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