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2"/>
        </w:rPr>
        <w:t>CODE OF ETHICS</w:t>
      </w:r>
    </w:p>
    <w:tbl>
      <w:tblPr>
        <w:tblStyle w:val="TableGrid"/>
        <w:tblW w:type="auto" w:w="0"/>
        <w:jc w:val="center"/>
        <w:tblLook w:firstColumn="1" w:firstRow="1" w:lastColumn="0" w:lastRow="0" w:noHBand="0" w:noVBand="1" w:val="04A0"/>
      </w:tblPr>
      <w:tblGrid>
        <w:gridCol w:w="4969"/>
        <w:gridCol w:w="4969"/>
      </w:tblGrid>
      <w:tr>
        <w:tc>
          <w:tcPr>
            <w:tcW w:type="dxa" w:w="4969"/>
            <w:shd w:fill="145A32"/>
          </w:tcPr>
          <w:p>
            <w:r>
              <w:rPr>
                <w:b/>
                <w:color w:val="FFFFFF"/>
                <w:sz w:val="18"/>
              </w:rPr>
              <w:t>Document Control</w:t>
            </w:r>
          </w:p>
        </w:tc>
        <w:tc>
          <w:tcPr>
            <w:tcW w:type="dxa" w:w="4969"/>
            <w:shd w:fill="145A32"/>
          </w:tcPr>
          <w:p>
            <w:r>
              <w:rPr>
                <w:b/>
                <w:color w:val="FFFFFF"/>
                <w:sz w:val="18"/>
              </w:rPr>
              <w:t>Details</w:t>
            </w:r>
          </w:p>
        </w:tc>
      </w:tr>
      <w:tr>
        <w:tc>
          <w:tcPr>
            <w:tcW w:type="dxa" w:w="4969"/>
          </w:tcPr>
          <w:p>
            <w:r>
              <w:t>Document title</w:t>
            </w:r>
          </w:p>
        </w:tc>
        <w:tc>
          <w:tcPr>
            <w:tcW w:type="dxa" w:w="4969"/>
          </w:tcPr>
          <w:p>
            <w:r>
              <w:t>Code of Ethics</w:t>
            </w:r>
          </w:p>
        </w:tc>
      </w:tr>
      <w:tr>
        <w:tc>
          <w:tcPr>
            <w:tcW w:type="dxa" w:w="4969"/>
          </w:tcPr>
          <w:p>
            <w:r>
              <w:t>Document number / reference</w:t>
            </w:r>
          </w:p>
        </w:tc>
        <w:tc>
          <w:tcPr>
            <w:tcW w:type="dxa" w:w="4969"/>
          </w:tcPr>
          <w:p>
            <w:r>
              <w:t>ASCO-GOV-003-2026</w:t>
            </w:r>
          </w:p>
        </w:tc>
      </w:tr>
      <w:tr>
        <w:tc>
          <w:tcPr>
            <w:tcW w:type="dxa" w:w="4969"/>
          </w:tcPr>
          <w:p>
            <w:r>
              <w:t>Version</w:t>
            </w:r>
          </w:p>
        </w:tc>
        <w:tc>
          <w:tcPr>
            <w:tcW w:type="dxa" w:w="4969"/>
          </w:tcPr>
          <w:p>
            <w:r>
              <w:t>1.0</w:t>
            </w:r>
          </w:p>
        </w:tc>
      </w:tr>
      <w:tr>
        <w:tc>
          <w:tcPr>
            <w:tcW w:type="dxa" w:w="4969"/>
          </w:tcPr>
          <w:p>
            <w:r>
              <w:t>Effective date</w:t>
            </w:r>
          </w:p>
        </w:tc>
        <w:tc>
          <w:tcPr>
            <w:tcW w:type="dxa" w:w="4969"/>
          </w:tcPr>
          <w:p>
            <w:r>
              <w:t>12 October 2026</w:t>
            </w:r>
          </w:p>
        </w:tc>
      </w:tr>
      <w:tr>
        <w:tc>
          <w:tcPr>
            <w:tcW w:type="dxa" w:w="4969"/>
          </w:tcPr>
          <w:p>
            <w:r>
              <w:t>Approval authority</w:t>
            </w:r>
          </w:p>
        </w:tc>
        <w:tc>
          <w:tcPr>
            <w:tcW w:type="dxa" w:w="4969"/>
          </w:tcPr>
          <w:p>
            <w:r>
              <w:t>ASCO Board of Directors</w:t>
            </w:r>
          </w:p>
        </w:tc>
      </w:tr>
      <w:tr>
        <w:tc>
          <w:tcPr>
            <w:tcW w:type="dxa" w:w="4969"/>
          </w:tcPr>
          <w:p>
            <w:r>
              <w:t>Approved by</w:t>
            </w:r>
          </w:p>
        </w:tc>
        <w:tc>
          <w:tcPr>
            <w:tcW w:type="dxa" w:w="4969"/>
          </w:tcPr>
          <w:p>
            <w:r>
              <w:t>ASCO Board of Directors — adoption recorded in approval register</w:t>
            </w:r>
          </w:p>
        </w:tc>
      </w:tr>
      <w:tr>
        <w:tc>
          <w:tcPr>
            <w:tcW w:type="dxa" w:w="4969"/>
          </w:tcPr>
          <w:p>
            <w:r>
              <w:t>Review date</w:t>
            </w:r>
          </w:p>
        </w:tc>
        <w:tc>
          <w:tcPr>
            <w:tcW w:type="dxa" w:w="4969"/>
          </w:tcPr>
          <w:p>
            <w:r>
              <w:t>16 September 2027</w:t>
            </w:r>
          </w:p>
        </w:tc>
      </w:tr>
      <w:tr>
        <w:tc>
          <w:tcPr>
            <w:tcW w:type="dxa" w:w="4969"/>
          </w:tcPr>
          <w:p>
            <w:r>
              <w:t>Document status</w:t>
            </w:r>
          </w:p>
        </w:tc>
        <w:tc>
          <w:tcPr>
            <w:tcW w:type="dxa" w:w="4969"/>
          </w:tcPr>
          <w:p>
            <w:r>
              <w:t>Final — Board-adopted operational instrument</w:t>
            </w:r>
          </w:p>
        </w:tc>
      </w:tr>
      <w:tr>
        <w:tc>
          <w:tcPr>
            <w:tcW w:type="dxa" w:w="4969"/>
          </w:tcPr>
          <w:p>
            <w:r>
              <w:t>Owner / responsible function</w:t>
            </w:r>
          </w:p>
        </w:tc>
        <w:tc>
          <w:tcPr>
            <w:tcW w:type="dxa" w:w="4969"/>
          </w:tcPr>
          <w:p>
            <w:r>
              <w:t>Board / Executive Director</w:t>
            </w:r>
          </w:p>
        </w:tc>
      </w:tr>
    </w:tbl>
    <w:p>
      <w:pPr>
        <w:spacing w:after="120" w:line="276" w:lineRule="auto"/>
      </w:pPr>
      <w:r>
        <w:rPr>
          <w:sz w:val="21"/>
        </w:rPr>
        <w:t>African Solidarity Civic Organisation NPC (ASCO NPC) is a South African Non-Profit Company, CIPC registration 2026/521895/08, SARS income tax reference 9322812265, with its public address at 49 Rif Road, Manor Gardens, Durban, KwaZulu-Natal, 4001. ASCO is an approved Public Benefit Organisation (SARS PBO Reference No. 930092287). ASCO’s Section 18A application remains pending; no Section 18A tax-deductible receipt may be issued until approval is granted.</w:t>
      </w:r>
    </w:p>
    <w:p>
      <w:r>
        <w:t>Updated: 2 October 2026 — PBO status and related current information harmonised.</w:t>
      </w:r>
    </w:p>
    <w:p>
      <w:pPr>
        <w:spacing w:after="120" w:line="276" w:lineRule="auto"/>
      </w:pPr>
      <w:r>
        <w:rPr>
          <w:sz w:val="21"/>
        </w:rPr>
        <w:t>ASCO follows the principle that the Board governs and Executive Management manages. The Founder/Founding Chairperson provides institutional oversight and does not sign, approve, initiate, co-authorise or control ASCO financial documents or transactions.</w:t>
      </w:r>
    </w:p>
    <w:p>
      <w:pPr>
        <w:spacing w:before="200"/>
      </w:pPr>
      <w:r>
        <w:rPr>
          <w:b/>
          <w:color w:val="145A32"/>
          <w:sz w:val="28"/>
        </w:rPr>
        <w:t>1. Ethical Principles</w:t>
      </w:r>
    </w:p>
    <w:p>
      <w:pPr>
        <w:pStyle w:val="ListBullet"/>
        <w:spacing w:after="60"/>
      </w:pPr>
      <w:r>
        <w:t>Human dignity, Ubuntu, equality, non-discrimination and inclusion.</w:t>
      </w:r>
    </w:p>
    <w:p>
      <w:pPr>
        <w:pStyle w:val="ListBullet"/>
        <w:spacing w:after="60"/>
      </w:pPr>
      <w:r>
        <w:t>Integrity, transparency, accountability and responsible stewardship.</w:t>
      </w:r>
    </w:p>
    <w:p>
      <w:pPr>
        <w:pStyle w:val="ListBullet"/>
        <w:spacing w:after="60"/>
      </w:pPr>
      <w:r>
        <w:t>Independence from improper political, commercial or donor influence.</w:t>
      </w:r>
    </w:p>
    <w:p>
      <w:pPr>
        <w:pStyle w:val="ListBullet"/>
        <w:spacing w:after="60"/>
      </w:pPr>
      <w:r>
        <w:t>Do no harm, safeguarding, participation and respect for affected communities.</w:t>
      </w:r>
    </w:p>
    <w:p>
      <w:pPr>
        <w:spacing w:before="200"/>
      </w:pPr>
      <w:r>
        <w:rPr>
          <w:b/>
          <w:color w:val="145A32"/>
          <w:sz w:val="28"/>
        </w:rPr>
        <w:t>2. Conflicts and Benefits</w:t>
      </w:r>
    </w:p>
    <w:p>
      <w:pPr>
        <w:spacing w:after="120" w:line="276" w:lineRule="auto"/>
      </w:pPr>
      <w:r>
        <w:rPr>
          <w:sz w:val="21"/>
        </w:rPr>
        <w:t>A person must disclose an actual, potential or perceived conflict and must not use ASCO position, information, assets or relationships for improper private benefit. Legitimate remuneration and reimbursement must be reasonable, documented and authorised.</w:t>
      </w:r>
    </w:p>
    <w:p>
      <w:pPr>
        <w:spacing w:before="200"/>
      </w:pPr>
      <w:r>
        <w:rPr>
          <w:b/>
          <w:color w:val="145A32"/>
          <w:sz w:val="28"/>
        </w:rPr>
        <w:t>3. Donor and Partner Ethics</w:t>
      </w:r>
    </w:p>
    <w:p>
      <w:pPr>
        <w:spacing w:after="120" w:line="276" w:lineRule="auto"/>
      </w:pPr>
      <w:r>
        <w:rPr>
          <w:sz w:val="21"/>
        </w:rPr>
        <w:t>ASCO rejects funds, partnerships or conditions that are unlawful, corrupt, coercive, discriminatory, revocable inappropriately or inconsistent with its mission.</w:t>
      </w:r>
    </w:p>
    <w:p>
      <w:pPr>
        <w:spacing w:before="200"/>
      </w:pPr>
      <w:r>
        <w:rPr>
          <w:b/>
          <w:color w:val="145A32"/>
          <w:sz w:val="28"/>
        </w:rPr>
        <w:t>4. Reporting</w:t>
      </w:r>
    </w:p>
    <w:p>
      <w:pPr>
        <w:spacing w:after="120" w:line="276" w:lineRule="auto"/>
      </w:pPr>
      <w:r>
        <w:rPr>
          <w:sz w:val="21"/>
        </w:rPr>
        <w:t>Good-faith concerns may be reported confidentially through official ASCO channels and are protected against retaliation.</w:t>
      </w:r>
    </w:p>
    <w:p>
      <w:pPr>
        <w:spacing w:before="200"/>
      </w:pPr>
      <w:r>
        <w:rPr>
          <w:b/>
          <w:color w:val="145A32"/>
          <w:sz w:val="28"/>
        </w:rPr>
        <w:t>Approval and Board Signatures</w:t>
      </w:r>
    </w:p>
    <w:p>
      <w:pPr>
        <w:spacing w:after="120" w:line="276" w:lineRule="auto"/>
      </w:pPr>
      <w:r>
        <w:rPr>
          <w:sz w:val="21"/>
        </w:rPr>
        <w:t>This document is an ASCO Board-adopted operational instrument. The signatures below record adoption and governance acknowledgement. They do not give the Founder/Founding Chairperson financial signing or transaction authority.</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2 October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2 October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2 October 2026</w:t>
            </w:r>
            <w:r>
              <w:br/>
              <w:t>____________________________</w:t>
            </w:r>
          </w:p>
        </w:tc>
      </w:tr>
    </w:tbl>
    <w:sectPr w:rsidR="00D50191" w:rsidSect="00F06150">
      <w:headerReference w:type="default" r:id="rId12"/>
      <w:footerReference w:type="default" r:id="rId13"/>
      <w:pgSz w:w="12240" w:h="15840"/>
      <w:pgMar w:top="1656" w:right="1151" w:bottom="1009" w:left="1151"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1DDD" w14:textId="77777777" w:rsidR="00E145BA" w:rsidRDefault="00E145BA">
      <w:pPr>
        <w:spacing w:after="0" w:line="240" w:lineRule="auto"/>
      </w:pPr>
      <w:r>
        <w:separator/>
      </w:r>
    </w:p>
  </w:endnote>
  <w:endnote w:type="continuationSeparator" w:id="0">
    <w:p w14:paraId="3188A4D4" w14:textId="77777777" w:rsidR="00E145BA" w:rsidRDefault="00E1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0FF" w14:textId="2D5F7C8D" w:rsidR="00F06150" w:rsidRDefault="00F06150" w:rsidP="00F06150">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BOARD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733" w14:textId="77777777" w:rsidR="00E145BA" w:rsidRDefault="00E145BA">
      <w:pPr>
        <w:spacing w:after="0" w:line="240" w:lineRule="auto"/>
      </w:pPr>
      <w:r>
        <w:separator/>
      </w:r>
    </w:p>
  </w:footnote>
  <w:footnote w:type="continuationSeparator" w:id="0">
    <w:p w14:paraId="4EAE24D7" w14:textId="77777777" w:rsidR="00E145BA" w:rsidRDefault="00E14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C1D" w14:textId="23A9886F" w:rsidR="00C91663" w:rsidRDefault="00C91663" w:rsidP="00F06150">
    <w:pPr>
      <w:pStyle w:val="Header"/>
    </w:pPr>
  </w:p>
  <w:tbl>
    <w:tblPr>
      <w:tblW w:w="0" w:type="auto"/>
      <w:tblLook w:val="04A0" w:firstRow="1" w:lastRow="0" w:firstColumn="1" w:lastColumn="0" w:noHBand="0" w:noVBand="1"/>
    </w:tblPr>
    <w:tblGrid>
      <w:gridCol w:w="5040"/>
      <w:gridCol w:w="5040"/>
    </w:tblGrid>
    <w:tr w:rsidR="00C91663" w14:paraId="4BD07808"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A6E8E9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AB0E475"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6E6015D5"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77327F51" w14:textId="77777777" w:rsidR="006963F4" w:rsidRDefault="00000000">
          <w:pPr>
            <w:jc w:val="right"/>
            <w:rPr>
              <w:sz w:val="15"/>
            </w:rPr>
          </w:pPr>
          <w:r>
            <w:rPr>
              <w:sz w:val="15"/>
            </w:rPr>
            <w:t xml:space="preserve">Durban, KwaZulu-Natal </w:t>
          </w:r>
        </w:p>
        <w:p w14:paraId="674B38D7"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5F0DE4"/>
    <w:rsid w:val="006963F4"/>
    <w:rsid w:val="0072647B"/>
    <w:rsid w:val="00764E09"/>
    <w:rsid w:val="008935B9"/>
    <w:rsid w:val="008B0B75"/>
    <w:rsid w:val="009D03FA"/>
    <w:rsid w:val="009F07BD"/>
    <w:rsid w:val="00A56C00"/>
    <w:rsid w:val="00A970F4"/>
    <w:rsid w:val="00AA1D8D"/>
    <w:rsid w:val="00AC3B06"/>
    <w:rsid w:val="00B47730"/>
    <w:rsid w:val="00BF076C"/>
    <w:rsid w:val="00C91663"/>
    <w:rsid w:val="00CB0664"/>
    <w:rsid w:val="00D057FC"/>
    <w:rsid w:val="00D50191"/>
    <w:rsid w:val="00D83E5F"/>
    <w:rsid w:val="00E145BA"/>
    <w:rsid w:val="00F0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9E938"/>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9</cp:revision>
  <cp:lastPrinted>2026-09-07T07:22:00Z</cp:lastPrinted>
  <dcterms:created xsi:type="dcterms:W3CDTF">2013-12-23T23:15:00Z</dcterms:created>
  <dcterms:modified xsi:type="dcterms:W3CDTF">2026-09-08T17:51:00Z</dcterms:modified>
  <cp:category/>
</cp:coreProperties>
</file>