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CYBERSECURITY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Cybersecurity Policy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ASCO-ICT-001-2026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12 October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Executive Director / Head of ICT and Communications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 is an approved Public Benefit Organisation (SARS PBO Reference No. 930092287). ASCO’s Section 18A application remains pending; no Section 18A tax-deductible receipt may be issued until approval is granted.</w:t>
      </w:r>
    </w:p>
    <w:p>
      <w:r>
        <w:t>Updated: 2 October 2026 — PBO status and related current information harmonised.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Purpose</w:t>
      </w:r>
    </w:p>
    <w:p>
      <w:pPr>
        <w:spacing w:after="120" w:line="276" w:lineRule="auto"/>
      </w:pPr>
      <w:r>
        <w:rPr>
          <w:sz w:val="21"/>
        </w:rPr>
        <w:t>This Policy protects ASCO information, systems, accounts, devices, website, communications and donor data from unauthorised access, loss, misuse and disruption.</w:t>
      </w:r>
    </w:p>
    <w:p>
      <w:pPr>
        <w:spacing w:before="200"/>
      </w:pPr>
      <w:r>
        <w:rPr>
          <w:b/>
          <w:color w:val="145A32"/>
          <w:sz w:val="28"/>
        </w:rPr>
        <w:t>2. Controls</w:t>
      </w:r>
    </w:p>
    <w:p>
      <w:pPr>
        <w:pStyle w:val="ListBullet"/>
        <w:spacing w:after="60"/>
      </w:pPr>
      <w:r>
        <w:t>Use unique passwords and multi-factor authentication where available.</w:t>
      </w:r>
    </w:p>
    <w:p>
      <w:pPr>
        <w:pStyle w:val="ListBullet"/>
        <w:spacing w:after="60"/>
      </w:pPr>
      <w:r>
        <w:t>Grant access by role and remove access promptly when duties change.</w:t>
      </w:r>
    </w:p>
    <w:p>
      <w:pPr>
        <w:pStyle w:val="ListBullet"/>
        <w:spacing w:after="60"/>
      </w:pPr>
      <w:r>
        <w:t>Do not share credentials or store sensitive data in unapproved personal accounts.</w:t>
      </w:r>
    </w:p>
    <w:p>
      <w:pPr>
        <w:pStyle w:val="ListBullet"/>
        <w:spacing w:after="60"/>
      </w:pPr>
      <w:r>
        <w:t>Use updates, anti-malware, secure networks, backups and encryption where reasonably available.</w:t>
      </w:r>
    </w:p>
    <w:p>
      <w:pPr>
        <w:pStyle w:val="ListBullet"/>
        <w:spacing w:after="60"/>
      </w:pPr>
      <w:r>
        <w:t>Verify unusual payment, bank-detail or password-change requests through an independent channel.</w:t>
      </w:r>
    </w:p>
    <w:p>
      <w:pPr>
        <w:pStyle w:val="ListBullet"/>
        <w:spacing w:after="60"/>
      </w:pPr>
      <w:r>
        <w:t>Report suspected compromise immediately to the Executive Director and Head of ICT and Communications.</w:t>
      </w:r>
    </w:p>
    <w:p>
      <w:pPr>
        <w:spacing w:before="200"/>
      </w:pPr>
      <w:r>
        <w:rPr>
          <w:b/>
          <w:color w:val="145A32"/>
          <w:sz w:val="28"/>
        </w:rPr>
        <w:t>3. Incident Response</w:t>
      </w:r>
    </w:p>
    <w:p>
      <w:pPr>
        <w:spacing w:after="120" w:line="276" w:lineRule="auto"/>
      </w:pPr>
      <w:r>
        <w:rPr>
          <w:sz w:val="21"/>
        </w:rPr>
        <w:t>Contain the incident, preserve evidence, assess affected information, notify the responsible governance functions and regulator/data subjects where legally required, restore securely and record corrective action.</w:t>
      </w:r>
    </w:p>
    <w:p>
      <w:pPr>
        <w:spacing w:before="200"/>
      </w:pPr>
      <w:r>
        <w:rPr>
          <w:b/>
          <w:color w:val="145A32"/>
          <w:sz w:val="28"/>
        </w:rPr>
        <w:t>4. Third Parties</w:t>
      </w:r>
    </w:p>
    <w:p>
      <w:pPr>
        <w:spacing w:after="120" w:line="276" w:lineRule="auto"/>
      </w:pPr>
      <w:r>
        <w:rPr>
          <w:sz w:val="21"/>
        </w:rPr>
        <w:t>Hosting, email, payment and other technology providers must be assessed and governed by appropriate contracts, access controls and security expectations.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