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DONATION RECEIPT AND REFERENCE NUMBERING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Donation Receipt and Reference Numbering Procedure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ASCO-DON-PROC-007-2026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12 October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Gift Administrator / Executive Director; Finance review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 is an approved Public Benefit Organisation (SARS PBO Reference No. 930092287). ASCO’s Section 18A application remains pending. Section 18A tax-deductible donation receipts may only be issued once Section 18A approval has been granted and in accordance with the applicable SARS approval.</w:t>
      </w:r>
    </w:p>
    <w:p>
      <w:r>
        <w:t>Updated: 2 October 2026 — PBO status and related current information harmonised.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1. Purpose</w:t>
      </w:r>
    </w:p>
    <w:p>
      <w:pPr>
        <w:spacing w:after="120" w:line="276" w:lineRule="auto"/>
      </w:pPr>
      <w:r>
        <w:rPr>
          <w:b w:val="0"/>
          <w:sz w:val="21"/>
        </w:rPr>
        <w:t>This procedure separates ordinary donation acknowledgements from any future SARS Section 18A receipt process and establishes a traceable reference system.</w:t>
      </w:r>
    </w:p>
    <w:p>
      <w:pPr>
        <w:spacing w:before="200" w:after="80"/>
      </w:pPr>
      <w:r>
        <w:rPr>
          <w:b/>
          <w:color w:val="145A32"/>
          <w:sz w:val="30"/>
        </w:rPr>
        <w:t>2. Ordinary Acknowledgement Rule</w:t>
      </w:r>
    </w:p>
    <w:p>
      <w:pPr>
        <w:spacing w:after="120" w:line="276" w:lineRule="auto"/>
      </w:pPr>
      <w:r>
        <w:rPr>
          <w:b w:val="0"/>
          <w:sz w:val="21"/>
        </w:rPr>
        <w:t>ASCO may issue an ordinary acknowledgement confirming receipt of a donation after verification. The acknowledgement must state that it is not a Section 18A receipt and must not state or imply tax deductibility. ASCO must not issue Section 18A receipts before separate SARS approval and the establishment of an approved receipt-control process.</w:t>
      </w:r>
    </w:p>
    <w:p>
      <w:pPr>
        <w:spacing w:before="200" w:after="80"/>
      </w:pPr>
      <w:r>
        <w:rPr>
          <w:b/>
          <w:color w:val="145A32"/>
          <w:sz w:val="30"/>
        </w:rPr>
        <w:t>3. Reference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Format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Owner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Control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Donation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ASCO-DON-YYYYMMDD-NNN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Sequential, unique, never reused.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Acknowledgement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ASCO-ACK-YYYY-NNNN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Linked to donation reference.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Agreement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ASCO-GA-YYYY-NNNN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Executive Director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Linked to donation and approval record.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Refund / return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ASCO-REF-YYYY-NNNN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Finance function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Linked to original donation and payment trail.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4. Issuing Workflow</w:t>
      </w:r>
    </w:p>
    <w:p>
      <w:pPr>
        <w:pStyle w:val="ListNumber"/>
        <w:spacing w:after="60"/>
      </w:pPr>
      <w:r>
        <w:t>Verify payment or delivery and confirm the donation reference.</w:t>
      </w:r>
    </w:p>
    <w:p>
      <w:pPr>
        <w:pStyle w:val="ListNumber"/>
        <w:spacing w:after="60"/>
      </w:pPr>
      <w:r>
        <w:t>Confirm ordinary acknowledgement wording and restriction status.</w:t>
      </w:r>
    </w:p>
    <w:p>
      <w:pPr>
        <w:pStyle w:val="ListNumber"/>
        <w:spacing w:after="60"/>
      </w:pPr>
      <w:r>
        <w:t>Prepare acknowledgement using the approved template.</w:t>
      </w:r>
    </w:p>
    <w:p>
      <w:pPr>
        <w:pStyle w:val="ListNumber"/>
        <w:spacing w:after="60"/>
      </w:pPr>
      <w:r>
        <w:t>Executive Director or authorised delegate reviews the document.</w:t>
      </w:r>
    </w:p>
    <w:p>
      <w:pPr>
        <w:pStyle w:val="ListNumber"/>
        <w:spacing w:after="60"/>
      </w:pPr>
      <w:r>
        <w:t>Issue through an approved channel and store a copy with the donation file.</w:t>
      </w:r>
    </w:p>
    <w:p>
      <w:pPr>
        <w:pStyle w:val="ListNumber"/>
        <w:spacing w:after="60"/>
      </w:pPr>
      <w:r>
        <w:t>Record acknowledgement reference and date in the Donation Register.</w:t>
      </w:r>
    </w:p>
    <w:p>
      <w:pPr>
        <w:spacing w:before="200" w:after="80"/>
      </w:pPr>
      <w:r>
        <w:rPr>
          <w:b/>
          <w:color w:val="145A32"/>
          <w:sz w:val="30"/>
        </w:rPr>
        <w:t>5. Errors, Voids and Refunds</w:t>
      </w:r>
    </w:p>
    <w:p>
      <w:pPr>
        <w:spacing w:after="120" w:line="276" w:lineRule="auto"/>
      </w:pPr>
      <w:r>
        <w:rPr>
          <w:b w:val="0"/>
          <w:sz w:val="21"/>
        </w:rPr>
        <w:t>Incorrect acknowledgements are marked void, retained with the reason, and replaced with a new reference. Refunds or returns require documented authority, payment verification and linkage to the original donation. Unidentified payments remain in an exception log until resolved or escalated.</w:t>
      </w:r>
    </w:p>
    <w:p>
      <w:pPr>
        <w:spacing w:before="200" w:after="80"/>
      </w:pPr>
      <w:r>
        <w:rPr>
          <w:b/>
          <w:color w:val="145A32"/>
          <w:sz w:val="30"/>
        </w:rPr>
        <w:t>6. Monitoring</w:t>
      </w:r>
    </w:p>
    <w:p>
      <w:pPr>
        <w:spacing w:after="120" w:line="276" w:lineRule="auto"/>
      </w:pPr>
      <w:r>
        <w:rPr>
          <w:b w:val="0"/>
          <w:sz w:val="21"/>
        </w:rPr>
        <w:t>The Gift Administrator performs a monthly sequence check. Finance reconciles acknowledgements to the Donation Register and accounting records. The Finance and Procurement Committee reviews exceptions quarterly.</w:t>
      </w:r>
    </w:p>
    <w:p>
      <w:pPr>
        <w:spacing w:before="200" w:after="80"/>
      </w:pPr>
      <w:r>
        <w:rPr>
          <w:b/>
          <w:color w:val="145A32"/>
          <w:sz w:val="30"/>
        </w:rPr>
        <w:t>7. References</w:t>
      </w:r>
    </w:p>
    <w:p>
      <w:pPr>
        <w:spacing w:after="120" w:line="276" w:lineRule="auto"/>
      </w:pPr>
      <w:r>
        <w:rPr>
          <w:b w:val="0"/>
          <w:sz w:val="21"/>
        </w:rPr>
        <w:t>SARS PBO and Section 18A guidance; ASCO Donations and Refunds Policy 2026; Donation Register and Donation Recording Procedure; Related documents: ASCO Donations and Refunds Policy 2026; Delegation of Authority and Financial Management Policy 2026; Privacy and POPIA Notice 2026; PAIA Manual 2026; Safeguarding and Complaints Policy 2026; Board Charter 2026; Constitution 2026; Memorandum of Incorporation 2026; PBO Motivation 2026; Public Benefit Activities 2026.</w:t>
      </w:r>
    </w:p>
    <w:p>
      <w:pPr>
        <w:spacing w:before="200" w:after="80"/>
      </w:pPr>
      <w:r>
        <w:rPr>
          <w:b/>
          <w:color w:val="145A32"/>
          <w:sz w:val="30"/>
        </w:rPr>
        <w:t>Approval and Adoption</w:t>
      </w:r>
    </w:p>
    <w:p>
      <w:pPr>
        <w:spacing w:after="120" w:line="276" w:lineRule="auto"/>
      </w:pPr>
      <w:r>
        <w:rPr>
          <w:b w:val="0"/>
          <w:sz w:val="21"/>
        </w:rPr>
        <w:t>This document is complete and adoption-ready. It becomes an approved ASCO operational instrument when adopted through a properly recorded Board resolution or approval register entry. No approval, meeting or signature is represented as having occurred by this document alone.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</w:tbl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DONATION RECEIPT PROCEDURE</w:t>
    </w:r>
    <w:r>
      <w:rPr>
        <w:color w:val="145A32"/>
        <w:sz w:val="16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