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2"/>
        </w:rPr>
        <w:t>PAIA MANUAL</w:t>
      </w:r>
    </w:p>
    <w:tbl>
      <w:tblPr>
        <w:tblStyle w:val="TableGrid"/>
        <w:tblW w:type="auto" w:w="0"/>
        <w:jc w:val="center"/>
        <w:tblLook w:firstColumn="1" w:firstRow="1" w:lastColumn="0" w:lastRow="0" w:noHBand="0" w:noVBand="1" w:val="04A0"/>
      </w:tblPr>
      <w:tblGrid>
        <w:gridCol w:w="4969"/>
        <w:gridCol w:w="4969"/>
      </w:tblGrid>
      <w:tr>
        <w:tc>
          <w:tcPr>
            <w:tcW w:type="dxa" w:w="4969"/>
            <w:shd w:fill="145A32"/>
          </w:tcPr>
          <w:p>
            <w:r>
              <w:rPr>
                <w:b/>
                <w:color w:val="FFFFFF"/>
                <w:sz w:val="18"/>
              </w:rPr>
              <w:t>Document Control</w:t>
            </w:r>
          </w:p>
        </w:tc>
        <w:tc>
          <w:tcPr>
            <w:tcW w:type="dxa" w:w="4969"/>
            <w:shd w:fill="145A32"/>
          </w:tcPr>
          <w:p>
            <w:r>
              <w:rPr>
                <w:b/>
                <w:color w:val="FFFFFF"/>
                <w:sz w:val="18"/>
              </w:rPr>
              <w:t>Details</w:t>
            </w:r>
          </w:p>
        </w:tc>
      </w:tr>
      <w:tr>
        <w:tc>
          <w:tcPr>
            <w:tcW w:type="dxa" w:w="4969"/>
          </w:tcPr>
          <w:p>
            <w:r>
              <w:t>Document title</w:t>
            </w:r>
          </w:p>
        </w:tc>
        <w:tc>
          <w:tcPr>
            <w:tcW w:type="dxa" w:w="4969"/>
          </w:tcPr>
          <w:p>
            <w:r>
              <w:t>PAIA Manual</w:t>
            </w:r>
          </w:p>
        </w:tc>
      </w:tr>
      <w:tr>
        <w:tc>
          <w:tcPr>
            <w:tcW w:type="dxa" w:w="4969"/>
          </w:tcPr>
          <w:p>
            <w:r>
              <w:t>Document number / reference</w:t>
            </w:r>
          </w:p>
        </w:tc>
        <w:tc>
          <w:tcPr>
            <w:tcW w:type="dxa" w:w="4969"/>
          </w:tcPr>
          <w:p>
            <w:r>
              <w:t>ASCO-PAIA-001-2026</w:t>
            </w:r>
          </w:p>
        </w:tc>
      </w:tr>
      <w:tr>
        <w:tc>
          <w:tcPr>
            <w:tcW w:type="dxa" w:w="4969"/>
          </w:tcPr>
          <w:p>
            <w:r>
              <w:t>Version</w:t>
            </w:r>
          </w:p>
        </w:tc>
        <w:tc>
          <w:tcPr>
            <w:tcW w:type="dxa" w:w="4969"/>
          </w:tcPr>
          <w:p>
            <w:r>
              <w:t>1.0</w:t>
            </w:r>
          </w:p>
        </w:tc>
      </w:tr>
      <w:tr>
        <w:tc>
          <w:tcPr>
            <w:tcW w:type="dxa" w:w="4969"/>
          </w:tcPr>
          <w:p>
            <w:r>
              <w:t>Effective date</w:t>
            </w:r>
          </w:p>
        </w:tc>
        <w:tc>
          <w:tcPr>
            <w:tcW w:type="dxa" w:w="4969"/>
          </w:tcPr>
          <w:p>
            <w:r>
              <w:t>12 October 2026</w:t>
            </w:r>
          </w:p>
        </w:tc>
      </w:tr>
      <w:tr>
        <w:tc>
          <w:tcPr>
            <w:tcW w:type="dxa" w:w="4969"/>
          </w:tcPr>
          <w:p>
            <w:r>
              <w:t>Approval authority</w:t>
            </w:r>
          </w:p>
        </w:tc>
        <w:tc>
          <w:tcPr>
            <w:tcW w:type="dxa" w:w="4969"/>
          </w:tcPr>
          <w:p>
            <w:r>
              <w:t>ASCO Board of Directors</w:t>
            </w:r>
          </w:p>
        </w:tc>
      </w:tr>
      <w:tr>
        <w:tc>
          <w:tcPr>
            <w:tcW w:type="dxa" w:w="4969"/>
          </w:tcPr>
          <w:p>
            <w:r>
              <w:t>Approved by</w:t>
            </w:r>
          </w:p>
        </w:tc>
        <w:tc>
          <w:tcPr>
            <w:tcW w:type="dxa" w:w="4969"/>
          </w:tcPr>
          <w:p>
            <w:r>
              <w:t>ASCO Board of Directors — adoption recorded in approval register</w:t>
            </w:r>
          </w:p>
        </w:tc>
      </w:tr>
      <w:tr>
        <w:tc>
          <w:tcPr>
            <w:tcW w:type="dxa" w:w="4969"/>
          </w:tcPr>
          <w:p>
            <w:r>
              <w:t>Review date</w:t>
            </w:r>
          </w:p>
        </w:tc>
        <w:tc>
          <w:tcPr>
            <w:tcW w:type="dxa" w:w="4969"/>
          </w:tcPr>
          <w:p>
            <w:r>
              <w:t>16 September 2027</w:t>
            </w:r>
          </w:p>
        </w:tc>
      </w:tr>
      <w:tr>
        <w:tc>
          <w:tcPr>
            <w:tcW w:type="dxa" w:w="4969"/>
          </w:tcPr>
          <w:p>
            <w:r>
              <w:t>Document status</w:t>
            </w:r>
          </w:p>
        </w:tc>
        <w:tc>
          <w:tcPr>
            <w:tcW w:type="dxa" w:w="4969"/>
          </w:tcPr>
          <w:p>
            <w:r>
              <w:t>Final — Board-adopted operational instrument</w:t>
            </w:r>
          </w:p>
        </w:tc>
      </w:tr>
      <w:tr>
        <w:tc>
          <w:tcPr>
            <w:tcW w:type="dxa" w:w="4969"/>
          </w:tcPr>
          <w:p>
            <w:r>
              <w:t>Owner / responsible function</w:t>
            </w:r>
          </w:p>
        </w:tc>
        <w:tc>
          <w:tcPr>
            <w:tcW w:type="dxa" w:w="4969"/>
          </w:tcPr>
          <w:p>
            <w:r>
              <w:t>Information Officer / Executive Director</w:t>
            </w:r>
          </w:p>
        </w:tc>
      </w:tr>
    </w:tbl>
    <w:p>
      <w:pPr>
        <w:spacing w:after="120" w:line="276" w:lineRule="auto"/>
      </w:pPr>
      <w:r>
        <w:rPr>
          <w:sz w:val="21"/>
        </w:rPr>
        <w:t>African Solidarity Civic Organisation NPC (ASCO NPC) is a South African Non-Profit Company, CIPC registration 2026/521895/08, SARS income tax reference 9322812265, with its public address at 49 Rif Road, Manor Gardens, Durban, KwaZulu-Natal, 4001. ASCO is an approved Public Benefit Organisation (SARS PBO Reference No. 930092287). ASCO’s Section 18A application remains pending; no Section 18A tax-deductible receipt may be issued until approval is granted.</w:t>
      </w:r>
    </w:p>
    <w:p>
      <w:r>
        <w:t>Updated: 2 October 2026 — PBO status and related current information harmonised.</w:t>
      </w:r>
    </w:p>
    <w:p>
      <w:pPr>
        <w:spacing w:after="120" w:line="276" w:lineRule="auto"/>
      </w:pPr>
      <w:r>
        <w:rPr>
          <w:sz w:val="21"/>
        </w:rPr>
        <w:t>ASCO follows the principle that the Board governs and Executive Management manages. The Founder/Founding Chairperson provides institutional oversight and does not sign, approve, initiate, co-authorise or control ASCO financial documents or transactions.</w:t>
      </w:r>
    </w:p>
    <w:p>
      <w:pPr>
        <w:spacing w:before="200"/>
      </w:pPr>
      <w:r>
        <w:rPr>
          <w:b/>
          <w:color w:val="145A32"/>
          <w:sz w:val="28"/>
        </w:rPr>
        <w:t>1. Purpose and Responsible Body</w:t>
      </w:r>
    </w:p>
    <w:p>
      <w:pPr>
        <w:spacing w:after="120" w:line="276" w:lineRule="auto"/>
      </w:pPr>
      <w:r>
        <w:rPr>
          <w:sz w:val="21"/>
        </w:rPr>
        <w:t>This Manual describes how information requests concerning ASCO are handled under the Promotion of Access to Information Act 2 of 2000 (PAIA), read with POPIA and applicable regulations. ASCO is the responsible body. Requests may be directed to info@africansolidaritycivic.org or 49 Rif Road, Manor Gardens, Durban, KwaZulu-Natal, 4001.</w:t>
      </w:r>
    </w:p>
    <w:p>
      <w:pPr>
        <w:spacing w:before="200"/>
      </w:pPr>
      <w:r>
        <w:rPr>
          <w:b/>
          <w:color w:val="145A32"/>
          <w:sz w:val="28"/>
        </w:rPr>
        <w:t>2. Automatically Available Information</w:t>
      </w:r>
    </w:p>
    <w:p>
      <w:pPr>
        <w:pStyle w:val="ListBullet"/>
        <w:spacing w:after="60"/>
      </w:pPr>
      <w:r>
        <w:t>Current public governance documents and approved public policies published in ASCO’s document library.</w:t>
      </w:r>
    </w:p>
    <w:p>
      <w:pPr>
        <w:pStyle w:val="ListBullet"/>
        <w:spacing w:after="60"/>
      </w:pPr>
      <w:r>
        <w:t>Institutional profile, public programme information, public notices and contact information.</w:t>
      </w:r>
    </w:p>
    <w:p>
      <w:pPr>
        <w:pStyle w:val="ListBullet"/>
        <w:spacing w:after="60"/>
      </w:pPr>
      <w:r>
        <w:t>Information that ASCO is legally required to make public.</w:t>
      </w:r>
    </w:p>
    <w:p>
      <w:pPr>
        <w:spacing w:before="200"/>
      </w:pPr>
      <w:r>
        <w:rPr>
          <w:b/>
          <w:color w:val="145A32"/>
          <w:sz w:val="28"/>
        </w:rPr>
        <w:t>3. Record Categories</w:t>
      </w:r>
    </w:p>
    <w:p>
      <w:pPr>
        <w:pStyle w:val="ListBullet"/>
        <w:spacing w:after="60"/>
      </w:pPr>
      <w:r>
        <w:t>Corporate, CIPC and governance records; Board minutes and resolutions; policies; financial and accounting records; donor and grant records; programme and monitoring records; employment and volunteer records; membership records; contracts and correspondence; personal information records; website and communications records.</w:t>
      </w:r>
    </w:p>
    <w:p>
      <w:pPr>
        <w:spacing w:before="200"/>
      </w:pPr>
      <w:r>
        <w:rPr>
          <w:b/>
          <w:color w:val="145A32"/>
          <w:sz w:val="28"/>
        </w:rPr>
        <w:t>4. Request Procedure</w:t>
      </w:r>
    </w:p>
    <w:p>
      <w:pPr>
        <w:pStyle w:val="ListNumber"/>
        <w:spacing w:after="60"/>
      </w:pPr>
      <w:r>
        <w:t>Submit a written request to the official contact above with sufficient detail to identify the record and the requester’s preferred form of access.</w:t>
      </w:r>
    </w:p>
    <w:p>
      <w:pPr>
        <w:pStyle w:val="ListNumber"/>
        <w:spacing w:after="60"/>
      </w:pPr>
      <w:r>
        <w:t>Provide proof of identity where required and specify whether the request is personal information under POPIA or general access under PAIA.</w:t>
      </w:r>
    </w:p>
    <w:p>
      <w:pPr>
        <w:pStyle w:val="ListNumber"/>
        <w:spacing w:after="60"/>
      </w:pPr>
      <w:r>
        <w:t>ASCO records the request, acknowledges receipt, assesses the record and consults relevant functions where necessary.</w:t>
      </w:r>
    </w:p>
    <w:p>
      <w:pPr>
        <w:pStyle w:val="ListNumber"/>
        <w:spacing w:after="60"/>
      </w:pPr>
      <w:r>
        <w:t>ASCO responds within the period required by PAIA or gives a lawful extension notice.</w:t>
      </w:r>
    </w:p>
    <w:p>
      <w:pPr>
        <w:pStyle w:val="ListNumber"/>
        <w:spacing w:after="60"/>
      </w:pPr>
      <w:r>
        <w:t>If access is granted, ASCO arranges inspection, copies or another lawful form and records any applicable cost.</w:t>
      </w:r>
    </w:p>
    <w:p>
      <w:pPr>
        <w:pStyle w:val="ListNumber"/>
        <w:spacing w:after="60"/>
      </w:pPr>
      <w:r>
        <w:t>If access is refused or limited, ASCO states the applicable ground and available internal or external remedy.</w:t>
      </w:r>
    </w:p>
    <w:p>
      <w:pPr>
        <w:spacing w:before="200"/>
      </w:pPr>
      <w:r>
        <w:rPr>
          <w:b/>
          <w:color w:val="145A32"/>
          <w:sz w:val="28"/>
        </w:rPr>
        <w:t>5. Grounds and Protection</w:t>
      </w:r>
    </w:p>
    <w:p>
      <w:pPr>
        <w:spacing w:after="120" w:line="276" w:lineRule="auto"/>
      </w:pPr>
      <w:r>
        <w:rPr>
          <w:sz w:val="21"/>
        </w:rPr>
        <w:t>ASCO protects personal information, confidential donor information, privileged information, trade secrets, safety-sensitive information, ongoing investigations and other information protected by law. Access is not refused merely because a record is inconvenient; any refusal must have a lawful basis.</w:t>
      </w:r>
    </w:p>
    <w:p>
      <w:pPr>
        <w:spacing w:before="200"/>
      </w:pPr>
      <w:r>
        <w:rPr>
          <w:b/>
          <w:color w:val="145A32"/>
          <w:sz w:val="28"/>
        </w:rPr>
        <w:t>6. POPIA and Personal Requests</w:t>
      </w:r>
    </w:p>
    <w:p>
      <w:pPr>
        <w:spacing w:after="120" w:line="276" w:lineRule="auto"/>
      </w:pPr>
      <w:r>
        <w:rPr>
          <w:sz w:val="21"/>
        </w:rPr>
        <w:t>Requests for access, correction, objection or deletion of personal information are handled under POPIA and this Manual. ASCO verifies identity, limits disclosure to the requester’s lawful entitlement and protects third-party information.</w:t>
      </w:r>
    </w:p>
    <w:p>
      <w:pPr>
        <w:spacing w:before="200"/>
      </w:pPr>
      <w:r>
        <w:rPr>
          <w:b/>
          <w:color w:val="145A32"/>
          <w:sz w:val="28"/>
        </w:rPr>
        <w:t>7. Governance and Review</w:t>
      </w:r>
    </w:p>
    <w:p>
      <w:pPr>
        <w:spacing w:after="120" w:line="276" w:lineRule="auto"/>
      </w:pPr>
      <w:r>
        <w:rPr>
          <w:sz w:val="21"/>
        </w:rPr>
        <w:t>The Information Officer or authorised responsible function maintains the request log, applies the Manual, reports material issues to the Board and reviews the Manual annually or after legislative change. ASCO retains request and decision records securely.</w:t>
      </w:r>
    </w:p>
    <w:p>
      <w:pPr>
        <w:spacing w:before="200"/>
      </w:pPr>
      <w:r>
        <w:rPr>
          <w:b/>
          <w:color w:val="145A32"/>
          <w:sz w:val="28"/>
        </w:rPr>
        <w:t>8. External Remedies</w:t>
      </w:r>
    </w:p>
    <w:p>
      <w:pPr>
        <w:spacing w:after="120" w:line="276" w:lineRule="auto"/>
      </w:pPr>
      <w:r>
        <w:rPr>
          <w:sz w:val="21"/>
        </w:rPr>
        <w:t>A requester may use the remedies available under PAIA and may contact the Information Regulator through its current official contact channels. ASCO does not restrict any lawful complaint or appeal right.</w:t>
      </w:r>
    </w:p>
    <w:p>
      <w:pPr>
        <w:spacing w:before="200"/>
      </w:pPr>
      <w:r>
        <w:rPr>
          <w:b/>
          <w:color w:val="145A32"/>
          <w:sz w:val="28"/>
        </w:rPr>
        <w:t>Approval and Board Signatures</w:t>
      </w:r>
    </w:p>
    <w:p>
      <w:pPr>
        <w:spacing w:after="120" w:line="276" w:lineRule="auto"/>
      </w:pPr>
      <w:r>
        <w:rPr>
          <w:sz w:val="21"/>
        </w:rPr>
        <w:t>This document is an ASCO Board-adopted operational instrument. The signatures below record adoption and governance acknowledgement. They do not give the Founder/Founding Chairperson financial signing or transaction authority.</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2 October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2 October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2 October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2 October 2026</w:t>
            </w:r>
            <w:r>
              <w:br/>
              <w:t>____________________________</w:t>
            </w:r>
          </w:p>
        </w:tc>
      </w:tr>
    </w:tbl>
    <w:sectPr w:rsidR="00D50191" w:rsidSect="00F06150">
      <w:headerReference w:type="default" r:id="rId12"/>
      <w:footerReference w:type="default" r:id="rId13"/>
      <w:pgSz w:w="12240" w:h="15840"/>
      <w:pgMar w:top="1656" w:right="1151" w:bottom="1009" w:left="1151"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1DDD" w14:textId="77777777" w:rsidR="00E145BA" w:rsidRDefault="00E145BA">
      <w:pPr>
        <w:spacing w:after="0" w:line="240" w:lineRule="auto"/>
      </w:pPr>
      <w:r>
        <w:separator/>
      </w:r>
    </w:p>
  </w:endnote>
  <w:endnote w:type="continuationSeparator" w:id="0">
    <w:p w14:paraId="3188A4D4" w14:textId="77777777" w:rsidR="00E145BA" w:rsidRDefault="00E14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0FF" w14:textId="2D5F7C8D" w:rsidR="00F06150" w:rsidRDefault="00F06150" w:rsidP="00F06150">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BOARD CHARTER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B733" w14:textId="77777777" w:rsidR="00E145BA" w:rsidRDefault="00E145BA">
      <w:pPr>
        <w:spacing w:after="0" w:line="240" w:lineRule="auto"/>
      </w:pPr>
      <w:r>
        <w:separator/>
      </w:r>
    </w:p>
  </w:footnote>
  <w:footnote w:type="continuationSeparator" w:id="0">
    <w:p w14:paraId="4EAE24D7" w14:textId="77777777" w:rsidR="00E145BA" w:rsidRDefault="00E14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5C1D" w14:textId="23A9886F" w:rsidR="00C91663" w:rsidRDefault="00C91663" w:rsidP="00F06150">
    <w:pPr>
      <w:pStyle w:val="Header"/>
    </w:pPr>
  </w:p>
  <w:tbl>
    <w:tblPr>
      <w:tblW w:w="0" w:type="auto"/>
      <w:tblLook w:val="04A0" w:firstRow="1" w:lastRow="0" w:firstColumn="1" w:lastColumn="0" w:noHBand="0" w:noVBand="1"/>
    </w:tblPr>
    <w:tblGrid>
      <w:gridCol w:w="5040"/>
      <w:gridCol w:w="5040"/>
    </w:tblGrid>
    <w:tr w:rsidR="00C91663" w14:paraId="4BD07808"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2A6E8E91"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6E6015D5"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77327F51" w14:textId="77777777" w:rsidR="006963F4" w:rsidRDefault="00000000">
          <w:pPr>
            <w:jc w:val="right"/>
            <w:rPr>
              <w:sz w:val="15"/>
            </w:rPr>
          </w:pPr>
          <w:r>
            <w:rPr>
              <w:sz w:val="15"/>
            </w:rPr>
            <w:t xml:space="preserve">Durban, KwaZulu-Natal </w:t>
          </w:r>
        </w:p>
        <w:p w14:paraId="674B38D7"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5F0DE4"/>
    <w:rsid w:val="006963F4"/>
    <w:rsid w:val="0072647B"/>
    <w:rsid w:val="00764E09"/>
    <w:rsid w:val="008935B9"/>
    <w:rsid w:val="008B0B75"/>
    <w:rsid w:val="009D03FA"/>
    <w:rsid w:val="009F07BD"/>
    <w:rsid w:val="00A56C00"/>
    <w:rsid w:val="00A970F4"/>
    <w:rsid w:val="00AA1D8D"/>
    <w:rsid w:val="00AC3B06"/>
    <w:rsid w:val="00B47730"/>
    <w:rsid w:val="00BF076C"/>
    <w:rsid w:val="00C91663"/>
    <w:rsid w:val="00CB0664"/>
    <w:rsid w:val="00D057FC"/>
    <w:rsid w:val="00D50191"/>
    <w:rsid w:val="00D83E5F"/>
    <w:rsid w:val="00E145BA"/>
    <w:rsid w:val="00F0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19E938"/>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9</cp:revision>
  <cp:lastPrinted>2026-09-07T07:22:00Z</cp:lastPrinted>
  <dcterms:created xsi:type="dcterms:W3CDTF">2013-12-23T23:15:00Z</dcterms:created>
  <dcterms:modified xsi:type="dcterms:W3CDTF">2026-09-08T17:51:00Z</dcterms:modified>
  <cp:category/>
</cp:coreProperties>
</file>