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before="0" w:line="252" w:lineRule="auto"/>
        <w:jc w:val="center"/>
      </w:pPr>
      <w:r>
        <w:rPr>
          <w:rFonts w:ascii="Arial" w:hAnsi="Arial"/>
          <w:b/>
          <w:i w:val="0"/>
          <w:color w:val="145A32"/>
          <w:sz w:val="30"/>
        </w:rPr>
        <w:t>AFRICAN SOLIDARITY CIVIC ORGANISATION NPC (ASCO)</w:t>
      </w:r>
    </w:p>
    <w:p>
      <w:pPr>
        <w:spacing w:after="100" w:before="0" w:line="252" w:lineRule="auto"/>
        <w:jc w:val="center"/>
      </w:pPr>
      <w:r>
        <w:rPr>
          <w:rFonts w:ascii="Arial" w:hAnsi="Arial"/>
          <w:b/>
          <w:i w:val="0"/>
          <w:color w:val="145A32"/>
          <w:sz w:val="26"/>
        </w:rPr>
        <w:t>Public Benefit Activities Schedule</w:t>
      </w:r>
    </w:p>
    <w:p>
      <w:pPr>
        <w:spacing w:after="100" w:before="0" w:line="252" w:lineRule="auto"/>
        <w:jc w:val="center"/>
      </w:pPr>
      <w:r>
        <w:rPr>
          <w:rFonts w:ascii="Arial" w:hAnsi="Arial"/>
          <w:b w:val="0"/>
          <w:i w:val="0"/>
          <w:color w:val="145A32"/>
          <w:sz w:val="21"/>
        </w:rPr>
        <w:t>BOARD-APPROVED FINAL DOCUMENTATION</w:t>
      </w:r>
    </w:p>
    <w:p>
      <w:pPr>
        <w:spacing w:after="200" w:before="0" w:line="252" w:lineRule="auto"/>
        <w:jc w:val="center"/>
      </w:pPr>
      <w:r>
        <w:rPr>
          <w:rFonts w:ascii="Arial" w:hAnsi="Arial"/>
          <w:b/>
          <w:i w:val="0"/>
          <w:color w:val="145A32"/>
          <w:sz w:val="19"/>
        </w:rPr>
        <w:t>FINAL DOCUMENTATION — BOARD APPROVED; EXECUTION / FILING DETAILS TO BE RECORDED</w:t>
      </w:r>
    </w:p>
    <w:p>
      <w:pPr>
        <w:spacing w:after="200" w:before="0" w:line="252" w:lineRule="auto"/>
        <w:jc w:val="center"/>
      </w:pPr>
      <w:r>
        <w:rPr>
          <w:rFonts w:ascii="Arial" w:hAnsi="Arial"/>
          <w:b w:val="0"/>
          <w:i/>
          <w:sz w:val="18"/>
        </w:rPr>
        <w:t>This document records the Board-approved ASCO governance model and policy position. Legal effectiveness, execution, statutory-register updates and filing or registration requirements must be completed by the authorised persons and recorded in the approval register. The Memorandum of Incorporation remains subject to the Companies Act 71 of 2008 and applicable filing requirements.</w:t>
      </w:r>
    </w:p>
    <w:p>
      <w:pPr>
        <w:spacing w:after="80" w:before="140" w:line="252" w:lineRule="auto"/>
      </w:pPr>
      <w:r>
        <w:rPr>
          <w:rFonts w:ascii="Arial" w:hAnsi="Arial"/>
          <w:b/>
          <w:i w:val="0"/>
          <w:color w:val="145A32"/>
          <w:sz w:val="26"/>
        </w:rPr>
        <w:t>DOCUMENT CONTROL</w:t>
      </w:r>
    </w:p>
    <w:p>
      <w:pPr>
        <w:spacing w:after="80" w:before="0" w:line="252" w:lineRule="auto"/>
      </w:pPr>
      <w:r>
        <w:rPr>
          <w:rFonts w:ascii="Arial" w:hAnsi="Arial"/>
          <w:b w:val="0"/>
          <w:i w:val="0"/>
          <w:sz w:val="20"/>
        </w:rPr>
        <w:t>Version: 1.0 | Prepared and Board-approved: 10 September 2026 | Resolution reference: To be entered in the approval register | Effective date: To be recorded where applicable | Next review: To be recorded</w:t>
      </w:r>
    </w:p>
    <w:p>
      <w:pPr>
        <w:spacing w:after="80" w:before="140" w:line="252" w:lineRule="auto"/>
      </w:pPr>
      <w:r>
        <w:rPr>
          <w:rFonts w:ascii="Arial" w:hAnsi="Arial"/>
          <w:b/>
          <w:i w:val="0"/>
          <w:color w:val="145A32"/>
          <w:sz w:val="26"/>
        </w:rPr>
        <w:t>1. STATUS</w:t>
      </w:r>
    </w:p>
    <w:p>
      <w:pPr>
        <w:spacing w:after="80" w:before="0" w:line="252" w:lineRule="auto"/>
      </w:pPr>
      <w:r>
        <w:rPr>
          <w:rFonts w:ascii="Arial" w:hAnsi="Arial"/>
          <w:b w:val="0"/>
          <w:i w:val="0"/>
          <w:sz w:val="20"/>
        </w:rPr>
        <w:t>This schedule supports ASCO’s approved Public Benefit Organisation activities (SARS PBO Reference No. 930092287) and programme planning. It does not constitute Section 18A approval and does not authorise Section 18A receipts.</w:t>
      </w:r>
    </w:p>
    <w:p>
      <w:r>
        <w:t>Updated: 2 October 2026 — PBO status and related current information harmonised.</w:t>
      </w:r>
    </w:p>
    <w:p>
      <w:pPr>
        <w:spacing w:after="80" w:before="140" w:line="252" w:lineRule="auto"/>
      </w:pPr>
      <w:r>
        <w:rPr>
          <w:rFonts w:ascii="Arial" w:hAnsi="Arial"/>
          <w:b/>
          <w:i w:val="0"/>
          <w:color w:val="145A32"/>
          <w:sz w:val="26"/>
        </w:rPr>
        <w:t>2. ACTIVITIES</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r>
              <w:rPr>
                <w:rFonts w:ascii="Arial" w:hAnsi="Arial"/>
                <w:b/>
                <w:color w:val="145A32"/>
                <w:sz w:val="17"/>
              </w:rPr>
              <w:t>Category</w:t>
            </w:r>
          </w:p>
        </w:tc>
        <w:tc>
          <w:tcPr>
            <w:tcW w:type="dxa" w:w="3009"/>
            <w:vAlign w:val="center"/>
          </w:tcPr>
          <w:p>
            <w:r>
              <w:rPr>
                <w:rFonts w:ascii="Arial" w:hAnsi="Arial"/>
                <w:b/>
                <w:color w:val="145A32"/>
                <w:sz w:val="17"/>
              </w:rPr>
              <w:t>Activity</w:t>
            </w:r>
          </w:p>
        </w:tc>
        <w:tc>
          <w:tcPr>
            <w:tcW w:type="dxa" w:w="3009"/>
            <w:vAlign w:val="center"/>
          </w:tcPr>
          <w:p>
            <w:r>
              <w:rPr>
                <w:rFonts w:ascii="Arial" w:hAnsi="Arial"/>
                <w:b/>
                <w:color w:val="145A32"/>
                <w:sz w:val="17"/>
              </w:rPr>
              <w:t>Beneficiaries / evidence</w:t>
            </w:r>
          </w:p>
        </w:tc>
      </w:tr>
      <w:tr>
        <w:tc>
          <w:tcPr>
            <w:tcW w:type="dxa" w:w="3009"/>
            <w:vAlign w:val="center"/>
          </w:tcPr>
          <w:p>
            <w:pPr>
              <w:spacing w:after="40"/>
            </w:pPr>
            <w:r>
              <w:rPr>
                <w:rFonts w:ascii="Arial" w:hAnsi="Arial"/>
                <w:sz w:val="16"/>
              </w:rPr>
              <w:t>Social cohesion</w:t>
            </w:r>
          </w:p>
        </w:tc>
        <w:tc>
          <w:tcPr>
            <w:tcW w:type="dxa" w:w="3009"/>
            <w:vAlign w:val="center"/>
          </w:tcPr>
          <w:p>
            <w:pPr>
              <w:spacing w:after="40"/>
            </w:pPr>
            <w:r>
              <w:rPr>
                <w:rFonts w:ascii="Arial" w:hAnsi="Arial"/>
                <w:sz w:val="16"/>
              </w:rPr>
              <w:t>Dialogues, anti-xenophobia awareness and cultural exchange</w:t>
            </w:r>
          </w:p>
        </w:tc>
        <w:tc>
          <w:tcPr>
            <w:tcW w:type="dxa" w:w="3009"/>
            <w:vAlign w:val="center"/>
          </w:tcPr>
          <w:p>
            <w:pPr>
              <w:spacing w:after="40"/>
            </w:pPr>
            <w:r>
              <w:rPr>
                <w:rFonts w:ascii="Arial" w:hAnsi="Arial"/>
                <w:sz w:val="16"/>
              </w:rPr>
              <w:t>Communities; plans, attendance, feedback</w:t>
            </w:r>
          </w:p>
        </w:tc>
      </w:tr>
      <w:tr>
        <w:tc>
          <w:tcPr>
            <w:tcW w:type="dxa" w:w="3009"/>
            <w:vAlign w:val="center"/>
          </w:tcPr>
          <w:p>
            <w:pPr>
              <w:spacing w:after="40"/>
            </w:pPr>
            <w:r>
              <w:rPr>
                <w:rFonts w:ascii="Arial" w:hAnsi="Arial"/>
                <w:sz w:val="16"/>
              </w:rPr>
              <w:t>Civic education</w:t>
            </w:r>
          </w:p>
        </w:tc>
        <w:tc>
          <w:tcPr>
            <w:tcW w:type="dxa" w:w="3009"/>
            <w:vAlign w:val="center"/>
          </w:tcPr>
          <w:p>
            <w:pPr>
              <w:spacing w:after="40"/>
            </w:pPr>
            <w:r>
              <w:rPr>
                <w:rFonts w:ascii="Arial" w:hAnsi="Arial"/>
                <w:sz w:val="16"/>
              </w:rPr>
              <w:t>Rights, responsibilities and constitutional values</w:t>
            </w:r>
          </w:p>
        </w:tc>
        <w:tc>
          <w:tcPr>
            <w:tcW w:type="dxa" w:w="3009"/>
            <w:vAlign w:val="center"/>
          </w:tcPr>
          <w:p>
            <w:pPr>
              <w:spacing w:after="40"/>
            </w:pPr>
            <w:r>
              <w:rPr>
                <w:rFonts w:ascii="Arial" w:hAnsi="Arial"/>
                <w:sz w:val="16"/>
              </w:rPr>
              <w:t>Public participants; curricula and evaluations</w:t>
            </w:r>
          </w:p>
        </w:tc>
      </w:tr>
      <w:tr>
        <w:tc>
          <w:tcPr>
            <w:tcW w:type="dxa" w:w="3009"/>
            <w:vAlign w:val="center"/>
          </w:tcPr>
          <w:p>
            <w:pPr>
              <w:spacing w:after="40"/>
            </w:pPr>
            <w:r>
              <w:rPr>
                <w:rFonts w:ascii="Arial" w:hAnsi="Arial"/>
                <w:sz w:val="16"/>
              </w:rPr>
              <w:t>Humanitarian support</w:t>
            </w:r>
          </w:p>
        </w:tc>
        <w:tc>
          <w:tcPr>
            <w:tcW w:type="dxa" w:w="3009"/>
            <w:vAlign w:val="center"/>
          </w:tcPr>
          <w:p>
            <w:pPr>
              <w:spacing w:after="40"/>
            </w:pPr>
            <w:r>
              <w:rPr>
                <w:rFonts w:ascii="Arial" w:hAnsi="Arial"/>
                <w:sz w:val="16"/>
              </w:rPr>
              <w:t>Needs-based assistance and referrals</w:t>
            </w:r>
          </w:p>
        </w:tc>
        <w:tc>
          <w:tcPr>
            <w:tcW w:type="dxa" w:w="3009"/>
            <w:vAlign w:val="center"/>
          </w:tcPr>
          <w:p>
            <w:pPr>
              <w:spacing w:after="40"/>
            </w:pPr>
            <w:r>
              <w:rPr>
                <w:rFonts w:ascii="Arial" w:hAnsi="Arial"/>
                <w:sz w:val="16"/>
              </w:rPr>
              <w:t>Vulnerable communities; needs and distribution records</w:t>
            </w:r>
          </w:p>
        </w:tc>
      </w:tr>
      <w:tr>
        <w:tc>
          <w:tcPr>
            <w:tcW w:type="dxa" w:w="3009"/>
            <w:vAlign w:val="center"/>
          </w:tcPr>
          <w:p>
            <w:pPr>
              <w:spacing w:after="40"/>
            </w:pPr>
            <w:r>
              <w:rPr>
                <w:rFonts w:ascii="Arial" w:hAnsi="Arial"/>
                <w:sz w:val="16"/>
              </w:rPr>
              <w:t>Youth development</w:t>
            </w:r>
          </w:p>
        </w:tc>
        <w:tc>
          <w:tcPr>
            <w:tcW w:type="dxa" w:w="3009"/>
            <w:vAlign w:val="center"/>
          </w:tcPr>
          <w:p>
            <w:pPr>
              <w:spacing w:after="40"/>
            </w:pPr>
            <w:r>
              <w:rPr>
                <w:rFonts w:ascii="Arial" w:hAnsi="Arial"/>
                <w:sz w:val="16"/>
              </w:rPr>
              <w:t>Leadership, exchange, mentoring and volunteering</w:t>
            </w:r>
          </w:p>
        </w:tc>
        <w:tc>
          <w:tcPr>
            <w:tcW w:type="dxa" w:w="3009"/>
            <w:vAlign w:val="center"/>
          </w:tcPr>
          <w:p>
            <w:pPr>
              <w:spacing w:after="40"/>
            </w:pPr>
            <w:r>
              <w:rPr>
                <w:rFonts w:ascii="Arial" w:hAnsi="Arial"/>
                <w:sz w:val="16"/>
              </w:rPr>
              <w:t>Young people; consent, registers and learning</w:t>
            </w:r>
          </w:p>
        </w:tc>
      </w:tr>
      <w:tr>
        <w:tc>
          <w:tcPr>
            <w:tcW w:type="dxa" w:w="3009"/>
            <w:vAlign w:val="center"/>
          </w:tcPr>
          <w:p>
            <w:pPr>
              <w:spacing w:after="40"/>
            </w:pPr>
            <w:r>
              <w:rPr>
                <w:rFonts w:ascii="Arial" w:hAnsi="Arial"/>
                <w:sz w:val="16"/>
              </w:rPr>
              <w:t>Environment</w:t>
            </w:r>
          </w:p>
        </w:tc>
        <w:tc>
          <w:tcPr>
            <w:tcW w:type="dxa" w:w="3009"/>
            <w:vAlign w:val="center"/>
          </w:tcPr>
          <w:p>
            <w:pPr>
              <w:spacing w:after="40"/>
            </w:pPr>
            <w:r>
              <w:rPr>
                <w:rFonts w:ascii="Arial" w:hAnsi="Arial"/>
                <w:sz w:val="16"/>
              </w:rPr>
              <w:t>Awareness, local action and resilience</w:t>
            </w:r>
          </w:p>
        </w:tc>
        <w:tc>
          <w:tcPr>
            <w:tcW w:type="dxa" w:w="3009"/>
            <w:vAlign w:val="center"/>
          </w:tcPr>
          <w:p>
            <w:pPr>
              <w:spacing w:after="40"/>
            </w:pPr>
            <w:r>
              <w:rPr>
                <w:rFonts w:ascii="Arial" w:hAnsi="Arial"/>
                <w:sz w:val="16"/>
              </w:rPr>
              <w:t>Communities; activity and outcome reports</w:t>
            </w:r>
          </w:p>
        </w:tc>
      </w:tr>
      <w:tr>
        <w:tc>
          <w:tcPr>
            <w:tcW w:type="dxa" w:w="3009"/>
            <w:vAlign w:val="center"/>
          </w:tcPr>
          <w:p>
            <w:pPr>
              <w:spacing w:after="40"/>
            </w:pPr>
            <w:r>
              <w:rPr>
                <w:rFonts w:ascii="Arial" w:hAnsi="Arial"/>
                <w:sz w:val="16"/>
              </w:rPr>
              <w:t>Peace and justice</w:t>
            </w:r>
          </w:p>
        </w:tc>
        <w:tc>
          <w:tcPr>
            <w:tcW w:type="dxa" w:w="3009"/>
            <w:vAlign w:val="center"/>
          </w:tcPr>
          <w:p>
            <w:pPr>
              <w:spacing w:after="40"/>
            </w:pPr>
            <w:r>
              <w:rPr>
                <w:rFonts w:ascii="Arial" w:hAnsi="Arial"/>
                <w:sz w:val="16"/>
              </w:rPr>
              <w:t>Mediation, lawful public participation and dialogue</w:t>
            </w:r>
          </w:p>
        </w:tc>
        <w:tc>
          <w:tcPr>
            <w:tcW w:type="dxa" w:w="3009"/>
            <w:vAlign w:val="center"/>
          </w:tcPr>
          <w:p>
            <w:pPr>
              <w:spacing w:after="40"/>
            </w:pPr>
            <w:r>
              <w:rPr>
                <w:rFonts w:ascii="Arial" w:hAnsi="Arial"/>
                <w:sz w:val="16"/>
              </w:rPr>
              <w:t>Communities; risk, incident and referral records</w:t>
            </w:r>
          </w:p>
        </w:tc>
      </w:tr>
      <w:tr>
        <w:tc>
          <w:tcPr>
            <w:tcW w:type="dxa" w:w="3009"/>
            <w:vAlign w:val="center"/>
          </w:tcPr>
          <w:p>
            <w:pPr>
              <w:spacing w:after="40"/>
            </w:pPr>
            <w:r>
              <w:rPr>
                <w:rFonts w:ascii="Arial" w:hAnsi="Arial"/>
                <w:sz w:val="16"/>
              </w:rPr>
              <w:t>Partnerships</w:t>
            </w:r>
          </w:p>
        </w:tc>
        <w:tc>
          <w:tcPr>
            <w:tcW w:type="dxa" w:w="3009"/>
            <w:vAlign w:val="center"/>
          </w:tcPr>
          <w:p>
            <w:pPr>
              <w:spacing w:after="40"/>
            </w:pPr>
            <w:r>
              <w:rPr>
                <w:rFonts w:ascii="Arial" w:hAnsi="Arial"/>
                <w:sz w:val="16"/>
              </w:rPr>
              <w:t>Cooperation with institutions and civil society</w:t>
            </w:r>
          </w:p>
        </w:tc>
        <w:tc>
          <w:tcPr>
            <w:tcW w:type="dxa" w:w="3009"/>
            <w:vAlign w:val="center"/>
          </w:tcPr>
          <w:p>
            <w:pPr>
              <w:spacing w:after="40"/>
            </w:pPr>
            <w:r>
              <w:rPr>
                <w:rFonts w:ascii="Arial" w:hAnsi="Arial"/>
                <w:sz w:val="16"/>
              </w:rPr>
              <w:t>Partners and beneficiaries; due diligence and agreements</w:t>
            </w:r>
          </w:p>
        </w:tc>
      </w:tr>
    </w:tbl>
    <w:p>
      <w:pPr>
        <w:spacing w:after="20"/>
      </w:pPr>
    </w:p>
    <w:p>
      <w:pPr>
        <w:spacing w:after="80" w:before="140" w:line="252" w:lineRule="auto"/>
      </w:pPr>
      <w:r>
        <w:rPr>
          <w:rFonts w:ascii="Arial" w:hAnsi="Arial"/>
          <w:b/>
          <w:i w:val="0"/>
          <w:color w:val="145A32"/>
          <w:sz w:val="26"/>
        </w:rPr>
        <w:t>3. NON-DISCRIMINATION AND PRIVATE BENEFIT</w:t>
      </w:r>
    </w:p>
    <w:p>
      <w:pPr>
        <w:spacing w:after="80" w:before="0" w:line="252" w:lineRule="auto"/>
      </w:pPr>
      <w:r>
        <w:rPr>
          <w:rFonts w:ascii="Arial" w:hAnsi="Arial"/>
          <w:b w:val="0"/>
          <w:i w:val="0"/>
          <w:sz w:val="20"/>
        </w:rPr>
        <w:t>Activities are intended for public benefit without unlawful discrimination. Resources are not distributed for private benefit except lawful remuneration, reimbursement or bona fide services.</w:t>
      </w:r>
    </w:p>
    <w:p>
      <w:pPr>
        <w:spacing w:after="80" w:before="140" w:line="252" w:lineRule="auto"/>
      </w:pPr>
      <w:r>
        <w:rPr>
          <w:rFonts w:ascii="Arial" w:hAnsi="Arial"/>
          <w:b/>
          <w:i w:val="0"/>
          <w:color w:val="145A32"/>
          <w:sz w:val="26"/>
        </w:rPr>
        <w:t>4. STATUS</w:t>
      </w:r>
    </w:p>
    <w:p>
      <w:pPr>
        <w:spacing w:after="80" w:before="0" w:line="252" w:lineRule="auto"/>
      </w:pPr>
      <w:r>
        <w:rPr>
          <w:rFonts w:ascii="Arial" w:hAnsi="Arial"/>
          <w:b w:val="0"/>
          <w:i w:val="0"/>
          <w:sz w:val="20"/>
        </w:rPr>
        <w:t>Activities qualify only to the extent recognised by applicable law and any approval granted by SARS.</w:t>
      </w:r>
    </w:p>
    <w:p>
      <w:r>
        <w:br/>
      </w:r>
    </w:p>
    <w:p>
      <w:r>
        <w:rPr>
          <w:rFonts w:ascii="Arial" w:hAnsi="Arial"/>
          <w:i/>
          <w:sz w:val="17"/>
        </w:rPr>
        <w:t>Place of approval / execution: 49 Rif Road, Manor Gardens, Durban, KwaZulu-Natal, 4001, South Africa</w:t>
      </w:r>
    </w:p>
    <w:p>
      <w:r>
        <w:rPr>
          <w:rFonts w:ascii="Arial" w:hAnsi="Arial"/>
          <w:b/>
          <w:color w:val="145A32"/>
          <w:sz w:val="24"/>
        </w:rPr>
        <w:t>BOARD APPROVAL SIGNATURES</w:t>
      </w:r>
    </w:p>
    <w:p>
      <w:r>
        <w:rPr>
          <w:rFonts w:ascii="Arial" w:hAnsi="Arial"/>
          <w:i/>
          <w:sz w:val="17"/>
        </w:rPr>
        <w:t>The following signatures are copied from the signed ASCO documents supplied for this purpose. They record Board approval/acknowledgement in the stated capacities; statutory effectiveness, filing and authority remain subject to the applicable approval and filing process.</w:t>
      </w:r>
    </w:p>
    <w:tbl>
      <w:tblPr>
        <w:tblStyle w:val="TableGrid"/>
        <w:tblW w:type="auto" w:w="0"/>
        <w:jc w:val="center"/>
        <w:tblLook w:firstColumn="1" w:firstRow="1" w:lastColumn="0" w:lastRow="0" w:noHBand="0" w:noVBand="1" w:val="04A0"/>
      </w:tblPr>
      <w:tblGrid>
        <w:gridCol w:w="4513"/>
        <w:gridCol w:w="4513"/>
      </w:tblGrid>
      <w:tr>
        <w:tc>
          <w:tcPr>
            <w:tcW w:type="dxa" w:w="4513"/>
            <w:shd w:fill="EAF2EC"/>
            <w:vAlign w:val="center"/>
          </w:tcPr>
          <w:p>
            <w:pPr>
              <w:spacing w:after="40"/>
            </w:pPr>
            <w:r/>
            <w:r>
              <w:rPr>
                <w:rFonts w:ascii="Arial" w:hAnsi="Arial"/>
                <w:b/>
                <w:color w:val="145A32"/>
                <w:sz w:val="16"/>
              </w:rPr>
              <w:t>CHAIRPERSON / FOUNDER</w:t>
            </w:r>
          </w:p>
          <w:p>
            <w:pPr>
              <w:spacing w:after="20"/>
            </w:pPr>
            <w:r>
              <w:rPr>
                <w:rFonts w:ascii="Arial" w:hAnsi="Arial"/>
                <w:b/>
                <w:sz w:val="18"/>
              </w:rPr>
              <w:t>Ms Busisiwe Makhosi Shandu</w:t>
            </w:r>
          </w:p>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325880" cy="1325880"/>
                          </a:xfrm>
                          <a:prstGeom prst="rect"/>
                        </pic:spPr>
                      </pic:pic>
                    </a:graphicData>
                  </a:graphic>
                </wp:inline>
              </w:drawing>
            </w:r>
          </w:p>
          <w:p>
            <w:r>
              <w:rPr>
                <w:rFonts w:ascii="Arial" w:hAnsi="Arial"/>
                <w:sz w:val="16"/>
              </w:rPr>
              <w:t>Date: 2 October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ICT AND COMMUNICATIONS</w:t>
            </w:r>
          </w:p>
          <w:p>
            <w:pPr>
              <w:spacing w:after="20"/>
            </w:pPr>
            <w:r>
              <w:rPr>
                <w:rFonts w:ascii="Arial" w:hAnsi="Arial"/>
                <w:b/>
                <w:sz w:val="18"/>
              </w:rPr>
              <w:t>Mr Thapelo Nelson Maqalika</w:t>
            </w:r>
          </w:p>
          <w:p>
            <w:pPr>
              <w:jc w:val="center"/>
            </w:pPr>
            <w:r>
              <w:drawing>
                <wp:inline xmlns:a="http://schemas.openxmlformats.org/drawingml/2006/main" xmlns:pic="http://schemas.openxmlformats.org/drawingml/2006/picture">
                  <wp:extent cx="1325880" cy="176784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25880" cy="1767840"/>
                          </a:xfrm>
                          <a:prstGeom prst="rect"/>
                        </pic:spPr>
                      </pic:pic>
                    </a:graphicData>
                  </a:graphic>
                </wp:inline>
              </w:drawing>
            </w:r>
          </w:p>
          <w:p>
            <w:r>
              <w:rPr>
                <w:rFonts w:ascii="Arial" w:hAnsi="Arial"/>
                <w:sz w:val="16"/>
              </w:rPr>
              <w:t>Date: 2 October 2026</w:t>
            </w:r>
          </w:p>
          <w:p>
            <w:r>
              <w:rPr>
                <w:rFonts w:ascii="Arial" w:hAnsi="Arial"/>
                <w:i/>
                <w:sz w:val="14"/>
              </w:rPr>
              <w:t>Signature copied from supplied signed document</w:t>
            </w:r>
          </w:p>
        </w:tc>
      </w:tr>
      <w:tr>
        <w:tc>
          <w:tcPr>
            <w:tcW w:type="dxa" w:w="4513"/>
            <w:shd w:fill="EAF2EC"/>
            <w:vAlign w:val="center"/>
          </w:tcPr>
          <w:p>
            <w:pPr>
              <w:spacing w:after="40"/>
            </w:pPr>
            <w:r/>
            <w:r>
              <w:rPr>
                <w:rFonts w:ascii="Arial" w:hAnsi="Arial"/>
                <w:b/>
                <w:color w:val="145A32"/>
                <w:sz w:val="16"/>
              </w:rPr>
              <w:t>EXECUTIVE DIRECTOR</w:t>
            </w:r>
          </w:p>
          <w:p>
            <w:pPr>
              <w:spacing w:after="20"/>
            </w:pPr>
            <w:r>
              <w:rPr>
                <w:rFonts w:ascii="Arial" w:hAnsi="Arial"/>
                <w:b/>
                <w:sz w:val="18"/>
              </w:rPr>
              <w:t>Mr Bhekisisa Shandu</w:t>
            </w:r>
          </w:p>
          <w:p>
            <w:pPr>
              <w:jc w:val="center"/>
            </w:pPr>
            <w:r>
              <w:drawing>
                <wp:inline xmlns:a="http://schemas.openxmlformats.org/drawingml/2006/main" xmlns:pic="http://schemas.openxmlformats.org/drawingml/2006/picture">
                  <wp:extent cx="1325880" cy="132588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25880" cy="1325880"/>
                          </a:xfrm>
                          <a:prstGeom prst="rect"/>
                        </pic:spPr>
                      </pic:pic>
                    </a:graphicData>
                  </a:graphic>
                </wp:inline>
              </w:drawing>
            </w:r>
          </w:p>
          <w:p>
            <w:r>
              <w:rPr>
                <w:rFonts w:ascii="Arial" w:hAnsi="Arial"/>
                <w:sz w:val="16"/>
              </w:rPr>
              <w:t>Date: 2 October 2026</w:t>
            </w:r>
          </w:p>
          <w:p>
            <w:r>
              <w:rPr>
                <w:rFonts w:ascii="Arial" w:hAnsi="Arial"/>
                <w:i/>
                <w:sz w:val="14"/>
              </w:rPr>
              <w:t>Signature copied from supplied signed document</w:t>
            </w:r>
          </w:p>
        </w:tc>
        <w:tc>
          <w:tcPr>
            <w:tcW w:type="dxa" w:w="4513"/>
            <w:shd w:fill="EAF2EC"/>
            <w:vAlign w:val="center"/>
          </w:tcPr>
          <w:p>
            <w:pPr>
              <w:spacing w:after="40"/>
            </w:pPr>
            <w:r/>
            <w:r>
              <w:rPr>
                <w:rFonts w:ascii="Arial" w:hAnsi="Arial"/>
                <w:b/>
                <w:color w:val="145A32"/>
                <w:sz w:val="16"/>
              </w:rPr>
              <w:t>DIRECTOR: PEOPLE AND CULTURE / FINANCE AND PROCUREMENT</w:t>
            </w:r>
          </w:p>
          <w:p>
            <w:pPr>
              <w:spacing w:after="20"/>
            </w:pPr>
            <w:r>
              <w:rPr>
                <w:rFonts w:ascii="Arial" w:hAnsi="Arial"/>
                <w:b/>
                <w:sz w:val="18"/>
              </w:rPr>
              <w:t>Mr Khulekani Gumede</w:t>
            </w:r>
          </w:p>
          <w:p>
            <w:pPr>
              <w:jc w:val="center"/>
            </w:pPr>
            <w:r>
              <w:drawing>
                <wp:inline xmlns:a="http://schemas.openxmlformats.org/drawingml/2006/main" xmlns:pic="http://schemas.openxmlformats.org/drawingml/2006/picture">
                  <wp:extent cx="1325880" cy="1394516"/>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1394516"/>
                          </a:xfrm>
                          <a:prstGeom prst="rect"/>
                        </pic:spPr>
                      </pic:pic>
                    </a:graphicData>
                  </a:graphic>
                </wp:inline>
              </w:drawing>
            </w:r>
          </w:p>
          <w:p>
            <w:r>
              <w:rPr>
                <w:rFonts w:ascii="Arial" w:hAnsi="Arial"/>
                <w:sz w:val="16"/>
              </w:rPr>
              <w:t>Date: 2 October 2026</w:t>
            </w:r>
          </w:p>
          <w:p>
            <w:r>
              <w:rPr>
                <w:rFonts w:ascii="Arial" w:hAnsi="Arial"/>
                <w:i/>
                <w:sz w:val="14"/>
              </w:rPr>
              <w:t>Signature copied from supplied signed document</w:t>
            </w:r>
          </w:p>
        </w:tc>
      </w:tr>
    </w:tbl>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  |  OFFICIAL </w:t>
    </w:r>
    <w:r>
      <w:rPr>
        <w:color w:val="145A32"/>
        <w:sz w:val="16"/>
      </w:rPr>
      <w:t>PUBLIC BENEFIT ACTIVITIES SCHEDULE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Benefit Activities Schedule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