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ACCOUNTING AND RECONCILIATION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Accounting and Reconciliation Procedure</w:t>
            </w:r>
          </w:p>
        </w:tc>
      </w:tr>
      <w:tr>
        <w:tc>
          <w:tcPr>
            <w:tcW w:type="dxa" w:w="3456"/>
          </w:tcPr>
          <w:p>
            <w:r/>
            <w:r>
              <w:rPr>
                <w:b w:val="0"/>
                <w:sz w:val="18"/>
              </w:rPr>
              <w:t>Document number / reference</w:t>
            </w:r>
          </w:p>
        </w:tc>
        <w:tc>
          <w:tcPr>
            <w:tcW w:type="dxa" w:w="6768"/>
          </w:tcPr>
          <w:p>
            <w:r/>
            <w:r>
              <w:rPr>
                <w:b w:val="0"/>
                <w:sz w:val="18"/>
              </w:rPr>
              <w:t>ASCO-DON-PROC-008-2026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finance function; Finance and Procurement Committee review</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Control Objective</w:t>
      </w:r>
    </w:p>
    <w:p>
      <w:pPr>
        <w:spacing w:after="120" w:line="276" w:lineRule="auto"/>
      </w:pPr>
      <w:r>
        <w:rPr>
          <w:b w:val="0"/>
          <w:sz w:val="21"/>
        </w:rPr>
        <w:t>Every donation must move through the controlled sequence: Donation received → Documented → Registered → Verified → Accounted for → Allocated → Reconciled → Acknowledged → Reported.</w:t>
      </w:r>
    </w:p>
    <w:p>
      <w:pPr>
        <w:spacing w:before="200" w:after="80"/>
      </w:pPr>
      <w:r>
        <w:rPr>
          <w:b/>
          <w:color w:val="145A32"/>
          <w:sz w:val="30"/>
        </w:rPr>
        <w:t>2. Segregation of Duties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Activity</w:t>
            </w:r>
          </w:p>
        </w:tc>
        <w:tc>
          <w:tcPr>
            <w:tcW w:type="dxa" w:w="3009"/>
            <w:shd w:fill="145A32"/>
          </w:tcPr>
          <w:p>
            <w:r/>
            <w:r>
              <w:rPr>
                <w:b/>
                <w:sz w:val="18"/>
              </w:rPr>
              <w:t>Primary responsibility</w:t>
            </w:r>
          </w:p>
        </w:tc>
        <w:tc>
          <w:tcPr>
            <w:tcW w:type="dxa" w:w="3009"/>
            <w:shd w:fill="145A32"/>
          </w:tcPr>
          <w:p>
            <w:r/>
            <w:r>
              <w:rPr>
                <w:b/>
                <w:sz w:val="18"/>
              </w:rPr>
              <w:t>Independent review</w:t>
            </w:r>
          </w:p>
        </w:tc>
      </w:tr>
      <w:tr>
        <w:tc>
          <w:tcPr>
            <w:tcW w:type="dxa" w:w="3009"/>
          </w:tcPr>
          <w:p>
            <w:r/>
            <w:r>
              <w:rPr>
                <w:b w:val="0"/>
                <w:sz w:val="18"/>
              </w:rPr>
              <w:t>Receive / identify payment</w:t>
            </w:r>
          </w:p>
        </w:tc>
        <w:tc>
          <w:tcPr>
            <w:tcW w:type="dxa" w:w="3009"/>
          </w:tcPr>
          <w:p>
            <w:r/>
            <w:r>
              <w:rPr>
                <w:b w:val="0"/>
                <w:sz w:val="18"/>
              </w:rPr>
              <w:t>Gift Administrator or Executive Director</w:t>
            </w:r>
          </w:p>
        </w:tc>
        <w:tc>
          <w:tcPr>
            <w:tcW w:type="dxa" w:w="3009"/>
          </w:tcPr>
          <w:p>
            <w:r/>
            <w:r>
              <w:rPr>
                <w:b w:val="0"/>
                <w:sz w:val="18"/>
              </w:rPr>
              <w:t>Finance review</w:t>
            </w:r>
          </w:p>
        </w:tc>
      </w:tr>
      <w:tr>
        <w:tc>
          <w:tcPr>
            <w:tcW w:type="dxa" w:w="3009"/>
          </w:tcPr>
          <w:p>
            <w:r/>
            <w:r>
              <w:rPr>
                <w:b w:val="0"/>
                <w:sz w:val="18"/>
              </w:rPr>
              <w:t>Register donation</w:t>
            </w:r>
          </w:p>
        </w:tc>
        <w:tc>
          <w:tcPr>
            <w:tcW w:type="dxa" w:w="3009"/>
          </w:tcPr>
          <w:p>
            <w:r/>
            <w:r>
              <w:rPr>
                <w:b w:val="0"/>
                <w:sz w:val="18"/>
              </w:rPr>
              <w:t>Gift Administrator</w:t>
            </w:r>
          </w:p>
        </w:tc>
        <w:tc>
          <w:tcPr>
            <w:tcW w:type="dxa" w:w="3009"/>
          </w:tcPr>
          <w:p>
            <w:r/>
            <w:r>
              <w:rPr>
                <w:b w:val="0"/>
                <w:sz w:val="18"/>
              </w:rPr>
              <w:t>Executive Director</w:t>
            </w:r>
          </w:p>
        </w:tc>
      </w:tr>
      <w:tr>
        <w:tc>
          <w:tcPr>
            <w:tcW w:type="dxa" w:w="3009"/>
          </w:tcPr>
          <w:p>
            <w:r/>
            <w:r>
              <w:rPr>
                <w:b w:val="0"/>
                <w:sz w:val="18"/>
              </w:rPr>
              <w:t>Approve restrictions or high-risk terms</w:t>
            </w:r>
          </w:p>
        </w:tc>
        <w:tc>
          <w:tcPr>
            <w:tcW w:type="dxa" w:w="3009"/>
          </w:tcPr>
          <w:p>
            <w:r/>
            <w:r>
              <w:rPr>
                <w:b w:val="0"/>
                <w:sz w:val="18"/>
              </w:rPr>
              <w:t>Executive Director / Committee / Board</w:t>
            </w:r>
          </w:p>
        </w:tc>
        <w:tc>
          <w:tcPr>
            <w:tcW w:type="dxa" w:w="3009"/>
          </w:tcPr>
          <w:p>
            <w:r/>
            <w:r>
              <w:rPr>
                <w:b w:val="0"/>
                <w:sz w:val="18"/>
              </w:rPr>
              <w:t>Board reporting</w:t>
            </w:r>
          </w:p>
        </w:tc>
      </w:tr>
      <w:tr>
        <w:tc>
          <w:tcPr>
            <w:tcW w:type="dxa" w:w="3009"/>
          </w:tcPr>
          <w:p>
            <w:r/>
            <w:r>
              <w:rPr>
                <w:b w:val="0"/>
                <w:sz w:val="18"/>
              </w:rPr>
              <w:t>Record accounting entry</w:t>
            </w:r>
          </w:p>
        </w:tc>
        <w:tc>
          <w:tcPr>
            <w:tcW w:type="dxa" w:w="3009"/>
          </w:tcPr>
          <w:p>
            <w:r/>
            <w:r>
              <w:rPr>
                <w:b w:val="0"/>
                <w:sz w:val="18"/>
              </w:rPr>
              <w:t>Finance function</w:t>
            </w:r>
          </w:p>
        </w:tc>
        <w:tc>
          <w:tcPr>
            <w:tcW w:type="dxa" w:w="3009"/>
          </w:tcPr>
          <w:p>
            <w:r/>
            <w:r>
              <w:rPr>
                <w:b w:val="0"/>
                <w:sz w:val="18"/>
              </w:rPr>
              <w:t>Executive Director / Committee</w:t>
            </w:r>
          </w:p>
        </w:tc>
      </w:tr>
      <w:tr>
        <w:tc>
          <w:tcPr>
            <w:tcW w:type="dxa" w:w="3009"/>
          </w:tcPr>
          <w:p>
            <w:r/>
            <w:r>
              <w:rPr>
                <w:b w:val="0"/>
                <w:sz w:val="18"/>
              </w:rPr>
              <w:t>Reconcile bank and register</w:t>
            </w:r>
          </w:p>
        </w:tc>
        <w:tc>
          <w:tcPr>
            <w:tcW w:type="dxa" w:w="3009"/>
          </w:tcPr>
          <w:p>
            <w:r/>
            <w:r>
              <w:rPr>
                <w:b w:val="0"/>
                <w:sz w:val="18"/>
              </w:rPr>
              <w:t>Finance function</w:t>
            </w:r>
          </w:p>
        </w:tc>
        <w:tc>
          <w:tcPr>
            <w:tcW w:type="dxa" w:w="3009"/>
          </w:tcPr>
          <w:p>
            <w:r/>
            <w:r>
              <w:rPr>
                <w:b w:val="0"/>
                <w:sz w:val="18"/>
              </w:rPr>
              <w:t>Executive Director and quarterly Committee</w:t>
            </w:r>
          </w:p>
        </w:tc>
      </w:tr>
      <w:tr>
        <w:tc>
          <w:tcPr>
            <w:tcW w:type="dxa" w:w="3009"/>
          </w:tcPr>
          <w:p>
            <w:r/>
            <w:r>
              <w:rPr>
                <w:b w:val="0"/>
                <w:sz w:val="18"/>
              </w:rPr>
              <w:t>Issue acknowledgement</w:t>
            </w:r>
          </w:p>
        </w:tc>
        <w:tc>
          <w:tcPr>
            <w:tcW w:type="dxa" w:w="3009"/>
          </w:tcPr>
          <w:p>
            <w:r/>
            <w:r>
              <w:rPr>
                <w:b w:val="0"/>
                <w:sz w:val="18"/>
              </w:rPr>
              <w:t>Gift Administrator</w:t>
            </w:r>
          </w:p>
        </w:tc>
        <w:tc>
          <w:tcPr>
            <w:tcW w:type="dxa" w:w="3009"/>
          </w:tcPr>
          <w:p>
            <w:r/>
            <w:r>
              <w:rPr>
                <w:b w:val="0"/>
                <w:sz w:val="18"/>
              </w:rPr>
              <w:t>Executive Director or delegate</w:t>
            </w:r>
          </w:p>
        </w:tc>
      </w:tr>
    </w:tbl>
    <w:p>
      <w:pPr>
        <w:spacing w:before="200" w:after="80"/>
      </w:pPr>
      <w:r>
        <w:rPr>
          <w:b/>
          <w:color w:val="145A32"/>
          <w:sz w:val="30"/>
        </w:rPr>
        <w:t>3. Monthly Workflow</w:t>
      </w:r>
    </w:p>
    <w:p>
      <w:pPr>
        <w:pStyle w:val="ListNumber"/>
        <w:spacing w:after="60"/>
      </w:pPr>
      <w:r>
        <w:t>Obtain bank, payment processor, cash and in-kind receipt reports.</w:t>
      </w:r>
    </w:p>
    <w:p>
      <w:pPr>
        <w:pStyle w:val="ListNumber"/>
        <w:spacing w:after="60"/>
      </w:pPr>
      <w:r>
        <w:t>Match each item to a donation reference and source document.</w:t>
      </w:r>
    </w:p>
    <w:p>
      <w:pPr>
        <w:pStyle w:val="ListNumber"/>
        <w:spacing w:after="60"/>
      </w:pPr>
      <w:r>
        <w:t>Investigate unidentified payments and duplicate or missing entries.</w:t>
      </w:r>
    </w:p>
    <w:p>
      <w:pPr>
        <w:pStyle w:val="ListNumber"/>
        <w:spacing w:after="60"/>
      </w:pPr>
      <w:r>
        <w:t>Confirm restrictions, project codes and accounting classifications.</w:t>
      </w:r>
    </w:p>
    <w:p>
      <w:pPr>
        <w:pStyle w:val="ListNumber"/>
        <w:spacing w:after="60"/>
      </w:pPr>
      <w:r>
        <w:t>Reconcile Donation Register totals to accounting and bank/payment records.</w:t>
      </w:r>
    </w:p>
    <w:p>
      <w:pPr>
        <w:pStyle w:val="ListNumber"/>
        <w:spacing w:after="60"/>
      </w:pPr>
      <w:r>
        <w:t>Document differences, responsible officer, corrective action and closure.</w:t>
      </w:r>
    </w:p>
    <w:p>
      <w:pPr>
        <w:pStyle w:val="ListNumber"/>
        <w:spacing w:after="60"/>
      </w:pPr>
      <w:r>
        <w:t>Prepare a monthly donation and exception report for the Executive Director.</w:t>
      </w:r>
    </w:p>
    <w:p>
      <w:pPr>
        <w:pStyle w:val="ListNumber"/>
        <w:spacing w:after="60"/>
      </w:pPr>
      <w:r>
        <w:t>Submit quarterly summaries to the Finance and Procurement Committee and material matters to the Board.</w:t>
      </w:r>
    </w:p>
    <w:p>
      <w:pPr>
        <w:spacing w:before="200" w:after="80"/>
      </w:pPr>
      <w:r>
        <w:rPr>
          <w:b/>
          <w:color w:val="145A32"/>
          <w:sz w:val="30"/>
        </w:rPr>
        <w:t>4. Cash, Online and In-Kind Controls</w:t>
      </w:r>
    </w:p>
    <w:p>
      <w:pPr>
        <w:pStyle w:val="ListBullet"/>
        <w:spacing w:after="60"/>
      </w:pPr>
      <w:r>
        <w:t>Cash is discouraged; two persons count and sign a cash count sheet, and cash is deposited promptly.</w:t>
      </w:r>
    </w:p>
    <w:p>
      <w:pPr>
        <w:pStyle w:val="ListBullet"/>
        <w:spacing w:after="60"/>
      </w:pPr>
      <w:r>
        <w:t>Online and EFT receipts are matched to payment references and donor information where available.</w:t>
      </w:r>
    </w:p>
    <w:p>
      <w:pPr>
        <w:pStyle w:val="ListBullet"/>
        <w:spacing w:after="60"/>
      </w:pPr>
      <w:r>
        <w:t>In-kind goods/services require receipt description, condition, quantity and valuation evidence where material; no unsupported value is recorded.</w:t>
      </w:r>
    </w:p>
    <w:p>
      <w:pPr>
        <w:pStyle w:val="ListBullet"/>
        <w:spacing w:after="60"/>
      </w:pPr>
      <w:r>
        <w:t>Donated services are not converted into a tax receipt or financial value unless properly assessed under applicable accounting rules.</w:t>
      </w:r>
    </w:p>
    <w:p>
      <w:pPr>
        <w:spacing w:before="200" w:after="80"/>
      </w:pPr>
      <w:r>
        <w:rPr>
          <w:b/>
          <w:color w:val="145A32"/>
          <w:sz w:val="30"/>
        </w:rPr>
        <w:t>5. Discrepancies, Refunds and Rejected Donations</w:t>
      </w:r>
    </w:p>
    <w:p>
      <w:pPr>
        <w:spacing w:after="120" w:line="276" w:lineRule="auto"/>
      </w:pPr>
      <w:r>
        <w:rPr>
          <w:b w:val="0"/>
          <w:sz w:val="21"/>
        </w:rPr>
        <w:t>Unresolved differences are recorded in an exception log and escalated to the Executive Director. Material discrepancies, suspected fraud, unlawful payments or conflicts are reported to the Finance and Procurement Committee and Board, and to competent authorities where required. Refunds and rejected donations follow the Donations and Refunds Policy and preserve a complete payment trail.</w:t>
      </w:r>
    </w:p>
    <w:p>
      <w:pPr>
        <w:spacing w:before="200" w:after="80"/>
      </w:pPr>
      <w:r>
        <w:rPr>
          <w:b/>
          <w:color w:val="145A32"/>
          <w:sz w:val="30"/>
        </w:rPr>
        <w:t>6. Records</w:t>
      </w:r>
    </w:p>
    <w:p>
      <w:pPr>
        <w:spacing w:after="120" w:line="276" w:lineRule="auto"/>
      </w:pPr>
      <w:r>
        <w:rPr>
          <w:b w:val="0"/>
          <w:sz w:val="21"/>
        </w:rPr>
        <w:t>Maintain register extracts, bank/payment reports, accounting entries, acknowledgements, agreements, approvals, reconciliation sign-offs, exception logs and refund records with controlled access and retention.</w:t>
      </w:r>
    </w:p>
    <w:p>
      <w:pPr>
        <w:spacing w:before="200" w:after="80"/>
      </w:pPr>
      <w:r>
        <w:rPr>
          <w:b/>
          <w:color w:val="145A32"/>
          <w:sz w:val="30"/>
        </w:rPr>
        <w:t>7. References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 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3600"/>
            <w:shd w:fill="145A32"/>
          </w:tcPr>
          <w:p>
            <w:r/>
            <w:r>
              <w:rPr>
                <w:b/>
                <w:sz w:val="18"/>
              </w:rPr>
              <w:t>Role</w:t>
            </w:r>
          </w:p>
        </w:tc>
        <w:tc>
          <w:tcPr>
            <w:tcW w:type="dxa" w:w="2880"/>
            <w:shd w:fill="145A32"/>
          </w:tcPr>
          <w:p>
            <w:r/>
            <w:r>
              <w:rPr>
                <w:b/>
                <w:sz w:val="18"/>
              </w:rPr>
              <w:t>Name</w:t>
            </w:r>
          </w:p>
        </w:tc>
        <w:tc>
          <w:tcPr>
            <w:tcW w:type="dxa" w:w="1872"/>
            <w:shd w:fill="145A32"/>
          </w:tcPr>
          <w:p>
            <w:r/>
            <w:r>
              <w:rPr>
                <w:b/>
                <w:sz w:val="18"/>
              </w:rPr>
              <w:t>Signature</w:t>
            </w:r>
          </w:p>
        </w:tc>
        <w:tc>
          <w:tcPr>
            <w:tcW w:type="dxa" w:w="1440"/>
            <w:shd w:fill="145A32"/>
          </w:tcPr>
          <w:p>
            <w:r/>
            <w:r>
              <w:rPr>
                <w:b/>
                <w:sz w:val="18"/>
              </w:rPr>
              <w:t>Date</w:t>
            </w:r>
          </w:p>
        </w:tc>
      </w:tr>
      <w:tr>
        <w:tc>
          <w:tcPr>
            <w:tcW w:type="dxa" w:w="3600"/>
          </w:tcPr>
          <w:p>
            <w:r/>
            <w:r>
              <w:rPr>
                <w:b w:val="0"/>
                <w:sz w:val="18"/>
              </w:rPr>
              <w:t>Chairperson / Founding Chairperson</w:t>
            </w:r>
          </w:p>
        </w:tc>
        <w:tc>
          <w:tcPr>
            <w:tcW w:type="dxa" w:w="2880"/>
          </w:tcPr>
          <w:p>
            <w:r/>
            <w:r>
              <w:rPr>
                <w:b w:val="0"/>
                <w:sz w:val="18"/>
              </w:rPr>
              <w:t>Ms Busisiwe Makhosi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Executive Director</w:t>
            </w:r>
          </w:p>
        </w:tc>
        <w:tc>
          <w:tcPr>
            <w:tcW w:type="dxa" w:w="2880"/>
          </w:tcPr>
          <w:p>
            <w:r/>
            <w:r>
              <w:rPr>
                <w:b w:val="0"/>
                <w:sz w:val="18"/>
              </w:rPr>
              <w:t>Mr Bhekisisa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ICT and Communications</w:t>
            </w:r>
          </w:p>
        </w:tc>
        <w:tc>
          <w:tcPr>
            <w:tcW w:type="dxa" w:w="2880"/>
          </w:tcPr>
          <w:p>
            <w:r/>
            <w:r>
              <w:rPr>
                <w:b w:val="0"/>
                <w:sz w:val="18"/>
              </w:rPr>
              <w:t>Mr Thapelo Nelson Maqalika</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People and Culture / Chairperson: Finance and Procurement Committee</w:t>
            </w:r>
          </w:p>
        </w:tc>
        <w:tc>
          <w:tcPr>
            <w:tcW w:type="dxa" w:w="2880"/>
          </w:tcPr>
          <w:p>
            <w:r/>
            <w:r>
              <w:rPr>
                <w:b w:val="0"/>
                <w:sz w:val="18"/>
              </w:rPr>
              <w:t>Mr Khulekani Gumede</w:t>
            </w:r>
          </w:p>
        </w:tc>
        <w:tc>
          <w:tcPr>
            <w:tcW w:type="dxa" w:w="1872"/>
          </w:tcPr>
          <w:p>
            <w:r/>
            <w:r>
              <w:rPr>
                <w:b w:val="0"/>
                <w:sz w:val="18"/>
              </w:rPr>
              <w:t>____________________</w:t>
            </w:r>
          </w:p>
        </w:tc>
        <w:tc>
          <w:tcPr>
            <w:tcW w:type="dxa" w:w="1440"/>
          </w:tcPr>
          <w:p>
            <w:r/>
            <w:r>
              <w:rPr>
                <w:b w:val="0"/>
                <w:sz w:val="18"/>
              </w:rPr>
              <w:t>________________</w:t>
            </w:r>
          </w:p>
        </w:tc>
      </w:tr>
    </w:tbl>
    <w:p>
      <w:pPr>
        <w:spacing w:after="120" w:line="276" w:lineRule="auto"/>
      </w:pPr>
      <w:r>
        <w:rPr>
          <w:b w:val="0"/>
          <w:sz w:val="21"/>
        </w:rPr>
        <w:t>Founder oversight note: The Founding Chairperson does not sign, approve or control ASCO financial documents or transactions.</w:t>
      </w:r>
    </w:p>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ACCOUNTING PROCEDURE</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