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DONOR AND SOURCE DOCUMENTATION CHECKLIST / CONTROL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Donor and Source Documentation Checklist / Control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ASCO-DON-FORM-010-2026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Administrator; Executive Director; Finance and Procurement Committee for enhanced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proportionate checklist for each donation. Do not demand excessive information from low-risk donors. Mark N/A with a reason. Attach documents securely and link the checklist to the Donation Register reference.</w:t>
      </w:r>
    </w:p>
    <w:p>
      <w:pPr>
        <w:spacing w:before="200" w:after="80"/>
      </w:pPr>
      <w:r>
        <w:rPr>
          <w:b/>
          <w:color w:val="145A32"/>
          <w:sz w:val="30"/>
        </w:rPr>
        <w:t>A. Control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Entry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name / 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Responsible officer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rating: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Acceptance: ☐ Accepted ☐ Refused ☐ Returned ☐ Pending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Core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Low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Medium / high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Received / location / reason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 name and contact details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Proof of payment or delivery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description and amount/value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Restriction or purpose statement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Conflict-of-interest check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Ordinary acknowledgement copy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Register entry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Enhanced Documents Where Appropriate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Status / notes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identification or reliable identity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Company registration / public profile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Representative authority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Beneficial ownership / controlling persons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/ restricted-party consideration where legally applicable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PEP or adverse-information consideration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Material in-kind valuation / condition evidence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Signed Donation Agreement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/ compliance advice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reporting terms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Refund / rejection documentation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D. Review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Unlawful or suspicious source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private benefit or donor influence?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of interest?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Safeguarding or reputational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Restriction feasible and approved?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Section 18A wording checked — no claim made?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Accounting and reconciliation complete?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Reviewer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Mr Bhekisisa Shandu / delegate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Committee / Board where required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E. Filing Confirmation</w:t>
      </w:r>
    </w:p>
    <w:p>
      <w:pPr>
        <w:spacing w:after="120" w:line="276" w:lineRule="auto"/>
      </w:pPr>
      <w:r>
        <w:rPr>
          <w:b w:val="0"/>
          <w:sz w:val="21"/>
        </w:rPr>
        <w:t>Donation file location: __________________________________________________________</w:t>
        <w:br/>
        <w:t>Register updated on: __________________  Accounting reference: __________________</w:t>
        <w:br/>
        <w:t>Acknowledgement reference: ______________ Reconciliation status: ☐ Complete ☐ Exception logged</w:t>
        <w:br/>
        <w:t>Exception / follow-up owner and date: ____________________________________________________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3600"/>
            <w:shd w:fill="145A32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872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Chairperson / Founding Chairperson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Ms Busisiwe Makhosi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Bhekisisa Shandu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ICT and Communications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Thapelo Nelson Maqalika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18"/>
              </w:rPr>
              <w:t>Director: People and Culture / Chairperson: Finance and Procurement Committee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Mr Khulekani Gumede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____________________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Founder oversight note: The Founding Chairperson does not sign, approve or control ASCO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DONOR CONTROL FORM</w:t>
    </w:r>
    <w:r>
      <w:rPr>
        <w:color w:val="145A32"/>
        <w:sz w:val="16"/>
      </w:rPr>
      <w:t>DONATIONS AND REFUNDS POLICY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