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2"/>
        </w:rPr>
        <w:t>CYBERSECURITY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9"/>
        <w:gridCol w:w="4969"/>
      </w:tblGrid>
      <w:tr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69"/>
          </w:tcPr>
          <w:p>
            <w:r>
              <w:t>Document title</w:t>
            </w:r>
          </w:p>
        </w:tc>
        <w:tc>
          <w:tcPr>
            <w:tcW w:type="dxa" w:w="4969"/>
          </w:tcPr>
          <w:p>
            <w:r>
              <w:t>Cybersecurity Policy</w:t>
            </w:r>
          </w:p>
        </w:tc>
      </w:tr>
      <w:tr>
        <w:tc>
          <w:tcPr>
            <w:tcW w:type="dxa" w:w="4969"/>
          </w:tcPr>
          <w:p>
            <w:r>
              <w:t>Document number / reference</w:t>
            </w:r>
          </w:p>
        </w:tc>
        <w:tc>
          <w:tcPr>
            <w:tcW w:type="dxa" w:w="4969"/>
          </w:tcPr>
          <w:p>
            <w:r>
              <w:t>ASCO-ICT-001-2026</w:t>
            </w:r>
          </w:p>
        </w:tc>
      </w:tr>
      <w:tr>
        <w:tc>
          <w:tcPr>
            <w:tcW w:type="dxa" w:w="4969"/>
          </w:tcPr>
          <w:p>
            <w:r>
              <w:t>Version</w:t>
            </w:r>
          </w:p>
        </w:tc>
        <w:tc>
          <w:tcPr>
            <w:tcW w:type="dxa" w:w="4969"/>
          </w:tcPr>
          <w:p>
            <w:r>
              <w:t>1.0</w:t>
            </w:r>
          </w:p>
        </w:tc>
      </w:tr>
      <w:tr>
        <w:tc>
          <w:tcPr>
            <w:tcW w:type="dxa" w:w="4969"/>
          </w:tcPr>
          <w:p>
            <w:r>
              <w:t>Effective date</w:t>
            </w:r>
          </w:p>
        </w:tc>
        <w:tc>
          <w:tcPr>
            <w:tcW w:type="dxa" w:w="4969"/>
          </w:tcPr>
          <w:p>
            <w:r>
              <w:t>16 September 2026</w:t>
            </w:r>
          </w:p>
        </w:tc>
      </w:tr>
      <w:tr>
        <w:tc>
          <w:tcPr>
            <w:tcW w:type="dxa" w:w="4969"/>
          </w:tcPr>
          <w:p>
            <w:r>
              <w:t>Approval authority</w:t>
            </w:r>
          </w:p>
        </w:tc>
        <w:tc>
          <w:tcPr>
            <w:tcW w:type="dxa" w:w="4969"/>
          </w:tcPr>
          <w:p>
            <w:r>
              <w:t>ASCO Board of Directors</w:t>
            </w:r>
          </w:p>
        </w:tc>
      </w:tr>
      <w:tr>
        <w:tc>
          <w:tcPr>
            <w:tcW w:type="dxa" w:w="4969"/>
          </w:tcPr>
          <w:p>
            <w:r>
              <w:t>Approved by</w:t>
            </w:r>
          </w:p>
        </w:tc>
        <w:tc>
          <w:tcPr>
            <w:tcW w:type="dxa" w:w="4969"/>
          </w:tcPr>
          <w:p>
            <w:r>
              <w:t>ASCO Board of Directors — adoption recorded in approval register</w:t>
            </w:r>
          </w:p>
        </w:tc>
      </w:tr>
      <w:tr>
        <w:tc>
          <w:tcPr>
            <w:tcW w:type="dxa" w:w="4969"/>
          </w:tcPr>
          <w:p>
            <w:r>
              <w:t>Review date</w:t>
            </w:r>
          </w:p>
        </w:tc>
        <w:tc>
          <w:tcPr>
            <w:tcW w:type="dxa" w:w="4969"/>
          </w:tcPr>
          <w:p>
            <w:r>
              <w:t>16 September 2027</w:t>
            </w:r>
          </w:p>
        </w:tc>
      </w:tr>
      <w:tr>
        <w:tc>
          <w:tcPr>
            <w:tcW w:type="dxa" w:w="4969"/>
          </w:tcPr>
          <w:p>
            <w:r>
              <w:t>Document status</w:t>
            </w:r>
          </w:p>
        </w:tc>
        <w:tc>
          <w:tcPr>
            <w:tcW w:type="dxa" w:w="4969"/>
          </w:tcPr>
          <w:p>
            <w:r>
              <w:t>Final — Board-adopted operational instrument</w:t>
            </w:r>
          </w:p>
        </w:tc>
      </w:tr>
      <w:tr>
        <w:tc>
          <w:tcPr>
            <w:tcW w:type="dxa" w:w="4969"/>
          </w:tcPr>
          <w:p>
            <w:r>
              <w:t>Owner / responsible function</w:t>
            </w:r>
          </w:p>
        </w:tc>
        <w:tc>
          <w:tcPr>
            <w:tcW w:type="dxa" w:w="4969"/>
          </w:tcPr>
          <w:p>
            <w:r>
              <w:t>Executive Director / Head of ICT and Communications</w:t>
            </w:r>
          </w:p>
        </w:tc>
      </w:tr>
    </w:tbl>
    <w:p>
      <w:pPr>
        <w:spacing w:after="120" w:line="276" w:lineRule="auto"/>
      </w:pPr>
      <w:r>
        <w:rPr>
          <w:sz w:val="21"/>
        </w:rPr>
        <w:t>African Solidarity Civic Organisation NPC (ASCO NPC) is a South African Non-Profit Company, CIPC registration 2026/521895/08, SARS income tax reference 9322812265, with its public address at 49 Rif Road, Manor Gardens, Durban, KwaZulu-Natal, 4001. ASCO is an approved Public Benefit Organisation (SARS PBO Reference No. 930092287). ASCO’s Section 18A application remains pending; no Section 18A tax-deductible receipt may be issued until approval is granted.</w:t>
      </w:r>
    </w:p>
    <w:p>
      <w:pPr>
        <w:spacing w:after="120" w:line="276" w:lineRule="auto"/>
      </w:pPr>
      <w:r>
        <w:rPr>
          <w:sz w:val="21"/>
        </w:rPr>
        <w:t>ASCO follows the principle that the Board governs and Executive Management manages. The Founder/Founding Chairperson provides institutional oversight and does not sign, approve, initiate, co-authorise or control ASCO financial documents or transactions.</w:t>
      </w:r>
    </w:p>
    <w:p>
      <w:pPr>
        <w:spacing w:before="200"/>
      </w:pPr>
      <w:r>
        <w:rPr>
          <w:b/>
          <w:color w:val="145A32"/>
          <w:sz w:val="28"/>
        </w:rPr>
        <w:t>1. Purpose</w:t>
      </w:r>
    </w:p>
    <w:p>
      <w:pPr>
        <w:spacing w:after="120" w:line="276" w:lineRule="auto"/>
      </w:pPr>
      <w:r>
        <w:rPr>
          <w:sz w:val="21"/>
        </w:rPr>
        <w:t>This Policy protects ASCO information, systems, accounts, devices, website, communications and donor data from unauthorised access, loss, misuse and disruption.</w:t>
      </w:r>
    </w:p>
    <w:p>
      <w:pPr>
        <w:spacing w:before="200"/>
      </w:pPr>
      <w:r>
        <w:rPr>
          <w:b/>
          <w:color w:val="145A32"/>
          <w:sz w:val="28"/>
        </w:rPr>
        <w:t>2. Controls</w:t>
      </w:r>
    </w:p>
    <w:p>
      <w:pPr>
        <w:pStyle w:val="ListBullet"/>
        <w:spacing w:after="60"/>
      </w:pPr>
      <w:r>
        <w:t>Use unique passwords and multi-factor authentication where available.</w:t>
      </w:r>
    </w:p>
    <w:p>
      <w:pPr>
        <w:pStyle w:val="ListBullet"/>
        <w:spacing w:after="60"/>
      </w:pPr>
      <w:r>
        <w:t>Grant access by role and remove access promptly when duties change.</w:t>
      </w:r>
    </w:p>
    <w:p>
      <w:pPr>
        <w:pStyle w:val="ListBullet"/>
        <w:spacing w:after="60"/>
      </w:pPr>
      <w:r>
        <w:t>Do not share credentials or store sensitive data in unapproved personal accounts.</w:t>
      </w:r>
    </w:p>
    <w:p>
      <w:pPr>
        <w:pStyle w:val="ListBullet"/>
        <w:spacing w:after="60"/>
      </w:pPr>
      <w:r>
        <w:t>Use updates, anti-malware, secure networks, backups and encryption where reasonably available.</w:t>
      </w:r>
    </w:p>
    <w:p>
      <w:pPr>
        <w:pStyle w:val="ListBullet"/>
        <w:spacing w:after="60"/>
      </w:pPr>
      <w:r>
        <w:t>Verify unusual payment, bank-detail or password-change requests through an independent channel.</w:t>
      </w:r>
    </w:p>
    <w:p>
      <w:pPr>
        <w:pStyle w:val="ListBullet"/>
        <w:spacing w:after="60"/>
      </w:pPr>
      <w:r>
        <w:t>Report suspected compromise immediately to the Executive Director and Head of ICT and Communications.</w:t>
      </w:r>
    </w:p>
    <w:p>
      <w:pPr>
        <w:spacing w:before="200"/>
      </w:pPr>
      <w:r>
        <w:rPr>
          <w:b/>
          <w:color w:val="145A32"/>
          <w:sz w:val="28"/>
        </w:rPr>
        <w:t>3. Incident Response</w:t>
      </w:r>
    </w:p>
    <w:p>
      <w:pPr>
        <w:spacing w:after="120" w:line="276" w:lineRule="auto"/>
      </w:pPr>
      <w:r>
        <w:rPr>
          <w:sz w:val="21"/>
        </w:rPr>
        <w:t>Contain the incident, preserve evidence, assess affected information, notify the responsible governance functions and regulator/data subjects where legally required, restore securely and record corrective action.</w:t>
      </w:r>
    </w:p>
    <w:p>
      <w:pPr>
        <w:spacing w:before="200"/>
      </w:pPr>
      <w:r>
        <w:rPr>
          <w:b/>
          <w:color w:val="145A32"/>
          <w:sz w:val="28"/>
        </w:rPr>
        <w:t>4. Third Parties</w:t>
      </w:r>
    </w:p>
    <w:p>
      <w:pPr>
        <w:spacing w:after="120" w:line="276" w:lineRule="auto"/>
      </w:pPr>
      <w:r>
        <w:rPr>
          <w:sz w:val="21"/>
        </w:rPr>
        <w:t>Hosting, email, payment and other technology providers must be assessed and governed by appropriate contracts, access controls and security expectations.</w:t>
      </w:r>
    </w:p>
    <w:p>
      <w:pPr>
        <w:spacing w:before="200"/>
      </w:pPr>
      <w:r>
        <w:rPr>
          <w:b/>
          <w:color w:val="145A32"/>
          <w:sz w:val="28"/>
        </w:rPr>
        <w:t>Approval and Board Signatures</w:t>
      </w:r>
    </w:p>
    <w:p>
      <w:pPr>
        <w:spacing w:after="120" w:line="276" w:lineRule="auto"/>
      </w:pPr>
      <w:r>
        <w:rPr>
          <w:sz w:val="21"/>
        </w:rPr>
        <w:t>This document is an ASCO Board-adopted operational instrument. The signatures below record adoption and governance acknowledgement. They do not give the Founder/Founding Chairperson financial signing or transaction authority.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sectPr w:rsidR="00D50191" w:rsidSect="00F06150">
      <w:headerReference w:type="default" r:id="rId12"/>
      <w:footerReference w:type="default" r:id="rId13"/>
      <w:pgSz w:w="12240" w:h="15840"/>
      <w:pgMar w:top="1656" w:right="1151" w:bottom="1009" w:left="115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1DDD" w14:textId="77777777" w:rsidR="00E145BA" w:rsidRDefault="00E145BA">
      <w:pPr>
        <w:spacing w:after="0" w:line="240" w:lineRule="auto"/>
      </w:pPr>
      <w:r>
        <w:separator/>
      </w:r>
    </w:p>
  </w:endnote>
  <w:endnote w:type="continuationSeparator" w:id="0">
    <w:p w14:paraId="3188A4D4" w14:textId="77777777" w:rsidR="00E145BA" w:rsidRDefault="00E1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0FF" w14:textId="2D5F7C8D" w:rsidR="00F06150" w:rsidRDefault="00F06150" w:rsidP="00F06150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63"/>
        <w:sz w:val="16"/>
      </w:rPr>
      <w:t xml:space="preserve">  |  OFFICIAL </w:t>
    </w:r>
    <w:r>
      <w:rPr>
        <w:color w:val="5F6B63"/>
        <w:sz w:val="16"/>
      </w:rPr>
      <w:t>BOARD CHARTER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733" w14:textId="77777777" w:rsidR="00E145BA" w:rsidRDefault="00E145BA">
      <w:pPr>
        <w:spacing w:after="0" w:line="240" w:lineRule="auto"/>
      </w:pPr>
      <w:r>
        <w:separator/>
      </w:r>
    </w:p>
  </w:footnote>
  <w:footnote w:type="continuationSeparator" w:id="0">
    <w:p w14:paraId="4EAE24D7" w14:textId="77777777" w:rsidR="00E145BA" w:rsidRDefault="00E14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5C1D" w14:textId="23A9886F" w:rsidR="00C91663" w:rsidRDefault="00C91663" w:rsidP="00F06150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C91663" w14:paraId="4BD07808" w14:textId="77777777" w:rsidTr="008B0B75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2A6E8E91" w14:textId="77777777" w:rsidR="00C91663" w:rsidRDefault="006963F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451D4ADE" wp14:editId="64828AEB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B0E475" w14:textId="77777777" w:rsidR="006963F4" w:rsidRDefault="006963F4" w:rsidP="006963F4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EA5CEF" wp14:editId="0AD47FA3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1D4A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3AB0E475" w14:textId="77777777" w:rsidR="006963F4" w:rsidRDefault="006963F4" w:rsidP="006963F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EA5CEF" wp14:editId="0AD47FA3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6E6015D5" w14:textId="77777777" w:rsidR="006963F4" w:rsidRDefault="00000000">
          <w:pPr>
            <w:jc w:val="right"/>
            <w:rPr>
              <w:sz w:val="15"/>
            </w:rPr>
          </w:pPr>
          <w:r>
            <w:rPr>
              <w:b/>
              <w:color w:val="145A32"/>
            </w:rPr>
            <w:t>AFRICAN SOLIDARITY CIVIC ORGANISATION (ASCO)</w:t>
          </w:r>
          <w:r>
            <w:rPr>
              <w:sz w:val="16"/>
            </w:rPr>
            <w:br/>
            <w:t>Registered NPC: 2026/521895/</w:t>
          </w:r>
          <w:r w:rsidR="006963F4">
            <w:rPr>
              <w:sz w:val="16"/>
            </w:rPr>
            <w:t>08 | Tax</w:t>
          </w:r>
          <w:r>
            <w:rPr>
              <w:sz w:val="16"/>
            </w:rPr>
            <w:t xml:space="preserve"> Reference: 9322812265</w:t>
          </w:r>
          <w:r>
            <w:rPr>
              <w:sz w:val="15"/>
            </w:rPr>
            <w:br/>
            <w:t xml:space="preserve">49 Rif Road, Manor Gardens </w:t>
          </w:r>
        </w:p>
        <w:p w14:paraId="77327F51" w14:textId="77777777" w:rsidR="006963F4" w:rsidRDefault="00000000">
          <w:pPr>
            <w:jc w:val="right"/>
            <w:rPr>
              <w:sz w:val="15"/>
            </w:rPr>
          </w:pPr>
          <w:r>
            <w:rPr>
              <w:sz w:val="15"/>
            </w:rPr>
            <w:t xml:space="preserve">Durban, KwaZulu-Natal </w:t>
          </w:r>
        </w:p>
        <w:p w14:paraId="674B38D7" w14:textId="77777777" w:rsidR="00C91663" w:rsidRDefault="00000000">
          <w:pPr>
            <w:jc w:val="right"/>
          </w:pPr>
          <w:r>
            <w:rPr>
              <w:sz w:val="15"/>
            </w:rPr>
            <w:t>4001</w:t>
          </w:r>
          <w:r>
            <w:rPr>
              <w:sz w:val="15"/>
            </w:rPr>
            <w:br/>
          </w:r>
          <w:r w:rsidR="006963F4">
            <w:rPr>
              <w:sz w:val="15"/>
            </w:rPr>
            <w:t>info@africansolidaritycivic.org | www.africansolidaritycivic.org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C3"/>
    <w:rsid w:val="0029639D"/>
    <w:rsid w:val="00326F90"/>
    <w:rsid w:val="00376A4D"/>
    <w:rsid w:val="005D62AA"/>
    <w:rsid w:val="005F0DE4"/>
    <w:rsid w:val="006963F4"/>
    <w:rsid w:val="0072647B"/>
    <w:rsid w:val="00764E09"/>
    <w:rsid w:val="008935B9"/>
    <w:rsid w:val="008B0B75"/>
    <w:rsid w:val="009D03FA"/>
    <w:rsid w:val="009F07BD"/>
    <w:rsid w:val="00A56C00"/>
    <w:rsid w:val="00A970F4"/>
    <w:rsid w:val="00AA1D8D"/>
    <w:rsid w:val="00AC3B06"/>
    <w:rsid w:val="00B47730"/>
    <w:rsid w:val="00BF076C"/>
    <w:rsid w:val="00C91663"/>
    <w:rsid w:val="00CB0664"/>
    <w:rsid w:val="00D057FC"/>
    <w:rsid w:val="00D50191"/>
    <w:rsid w:val="00D83E5F"/>
    <w:rsid w:val="00E145BA"/>
    <w:rsid w:val="00F06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19E938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ASCO Board Resolution BR/2026/09/001</dc:title>
  <dc:subject>Appointment of Registered Representatives to SARS</dc:subject>
  <dc:creator>African Solidarity Civic Organisation (ASCO) NPC</dc:creator>
  <cp:keywords/>
  <dc:description>generated by python-docx</dc:description>
  <cp:lastModifiedBy>Thapelo Maqalika</cp:lastModifiedBy>
  <cp:revision>9</cp:revision>
  <cp:lastPrinted>2026-09-07T07:22:00Z</cp:lastPrinted>
  <dcterms:created xsi:type="dcterms:W3CDTF">2013-12-23T23:15:00Z</dcterms:created>
  <dcterms:modified xsi:type="dcterms:W3CDTF">2026-09-08T17:51:00Z</dcterms:modified>
  <cp:category/>
</cp:coreProperties>
</file>