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line="252" w:lineRule="auto"/>
        <w:jc w:val="center"/>
      </w:pPr>
      <w:r>
        <w:rPr>
          <w:rFonts w:ascii="Arial" w:hAnsi="Arial"/>
          <w:b/>
          <w:i w:val="0"/>
          <w:color w:val="145A32"/>
          <w:sz w:val="30"/>
        </w:rPr>
        <w:t>AFRICAN SOLIDARITY CIVIC ORGANISATION NPC (ASCO)</w:t>
      </w:r>
    </w:p>
    <w:p>
      <w:pPr>
        <w:spacing w:after="100" w:before="0" w:line="252" w:lineRule="auto"/>
        <w:jc w:val="center"/>
      </w:pPr>
      <w:r>
        <w:rPr>
          <w:rFonts w:ascii="Arial" w:hAnsi="Arial"/>
          <w:b/>
          <w:i w:val="0"/>
          <w:color w:val="145A32"/>
          <w:sz w:val="26"/>
        </w:rPr>
        <w:t>Donations and Refunds Policy</w:t>
      </w:r>
    </w:p>
    <w:p>
      <w:pPr>
        <w:spacing w:after="100" w:before="0" w:line="252" w:lineRule="auto"/>
        <w:jc w:val="center"/>
      </w:pPr>
      <w:r>
        <w:rPr>
          <w:rFonts w:ascii="Arial" w:hAnsi="Arial"/>
          <w:b w:val="0"/>
          <w:i w:val="0"/>
          <w:color w:val="145A32"/>
          <w:sz w:val="21"/>
        </w:rPr>
        <w:t>BOARD-APPROVED FINAL DOCUMENTATION</w:t>
      </w:r>
    </w:p>
    <w:p>
      <w:pPr>
        <w:spacing w:after="200" w:before="0" w:line="252" w:lineRule="auto"/>
        <w:jc w:val="center"/>
      </w:pPr>
      <w:r>
        <w:rPr>
          <w:rFonts w:ascii="Arial" w:hAnsi="Arial"/>
          <w:b/>
          <w:i w:val="0"/>
          <w:color w:val="145A32"/>
          <w:sz w:val="19"/>
        </w:rPr>
        <w:t>FINAL DOCUMENTATION — BOARD APPROVED; EXECUTION / FILING DETAILS TO BE RECORDED</w:t>
      </w:r>
    </w:p>
    <w:p>
      <w:pPr>
        <w:spacing w:after="200" w:before="0" w:line="252" w:lineRule="auto"/>
        <w:jc w:val="center"/>
      </w:pPr>
      <w:r>
        <w:rPr>
          <w:rFonts w:ascii="Arial" w:hAnsi="Arial"/>
          <w:b w:val="0"/>
          <w:i/>
          <w:sz w:val="18"/>
        </w:rPr>
        <w:t>This document records the Board-approved ASCO governance model and policy position. Legal effectiveness, execution, statutory-register updates and filing or registration requirements must be completed by the authorised persons and recorded in the approval register. The Memorandum of Incorporation remains subject to the Companies Act 71 of 2008 and applicable filing requirements.</w:t>
      </w:r>
    </w:p>
    <w:p>
      <w:pPr>
        <w:spacing w:after="80" w:before="140" w:line="252" w:lineRule="auto"/>
      </w:pPr>
      <w:r>
        <w:rPr>
          <w:rFonts w:ascii="Arial" w:hAnsi="Arial"/>
          <w:b/>
          <w:i w:val="0"/>
          <w:color w:val="145A32"/>
          <w:sz w:val="26"/>
        </w:rPr>
        <w:t>DOCUMENT CONTROL</w:t>
      </w:r>
    </w:p>
    <w:p>
      <w:pPr>
        <w:spacing w:after="80" w:before="0" w:line="252" w:lineRule="auto"/>
      </w:pPr>
      <w:r>
        <w:rPr>
          <w:rFonts w:ascii="Arial" w:hAnsi="Arial"/>
          <w:b w:val="0"/>
          <w:i w:val="0"/>
          <w:sz w:val="20"/>
        </w:rPr>
        <w:t>Version: 1.0 | Prepared and Board-approved: 10 September 2026 | Resolution reference: To be entered in the approval register | Effective date: To be recorded where applicable | Next review: To be recorded</w:t>
      </w:r>
    </w:p>
    <w:p>
      <w:pPr>
        <w:spacing w:after="80" w:before="140" w:line="252" w:lineRule="auto"/>
      </w:pPr>
      <w:r>
        <w:rPr>
          <w:rFonts w:ascii="Arial" w:hAnsi="Arial"/>
          <w:b/>
          <w:i w:val="0"/>
          <w:color w:val="145A32"/>
          <w:sz w:val="26"/>
        </w:rPr>
        <w:t>1. STATUS AND PURPOSE</w:t>
      </w:r>
    </w:p>
    <w:p>
      <w:pPr>
        <w:spacing w:after="80" w:before="0" w:line="252" w:lineRule="auto"/>
      </w:pPr>
      <w:r>
        <w:rPr>
          <w:rFonts w:ascii="Arial" w:hAnsi="Arial"/>
          <w:b w:val="0"/>
          <w:i w:val="0"/>
          <w:sz w:val="20"/>
        </w:rPr>
        <w:t>This policy governs donation acceptance, restrictions, records, acknowledgements and refunds. It does not create PBO or section 18A approval.</w:t>
      </w:r>
    </w:p>
    <w:p>
      <w:pPr>
        <w:spacing w:after="80" w:before="140" w:line="252" w:lineRule="auto"/>
      </w:pPr>
      <w:r>
        <w:rPr>
          <w:rFonts w:ascii="Arial" w:hAnsi="Arial"/>
          <w:b/>
          <w:i w:val="0"/>
          <w:color w:val="145A32"/>
          <w:sz w:val="26"/>
        </w:rPr>
        <w:t>2. TAX STATUS NOTICE</w:t>
      </w:r>
    </w:p>
    <w:p>
      <w:pPr>
        <w:spacing w:after="80" w:before="0" w:line="252" w:lineRule="auto"/>
      </w:pPr>
      <w:r>
        <w:rPr>
          <w:rFonts w:ascii="Arial" w:hAnsi="Arial"/>
          <w:b w:val="0"/>
          <w:i w:val="0"/>
          <w:sz w:val="20"/>
        </w:rPr>
        <w:t>ASCO is an approved PBO under SARS reference 930092287 and does not issue Section 18A receipts unless separately approved by SARS. PBO approval and Section 18A approval are separate processes. ASCO is approved as a PBO under SARS reference 930092287; Section 18A remains pending.</w:t>
      </w:r>
    </w:p>
    <w:p>
      <w:pPr>
        <w:spacing w:after="80" w:before="140" w:line="252" w:lineRule="auto"/>
      </w:pPr>
      <w:r>
        <w:rPr>
          <w:rFonts w:ascii="Arial" w:hAnsi="Arial"/>
          <w:b/>
          <w:i w:val="0"/>
          <w:color w:val="145A32"/>
          <w:sz w:val="26"/>
        </w:rPr>
        <w:t>3. ACCEPTANCE</w:t>
      </w:r>
    </w:p>
    <w:p>
      <w:pPr>
        <w:spacing w:after="80" w:before="0" w:line="252" w:lineRule="auto"/>
      </w:pPr>
      <w:r>
        <w:rPr>
          <w:rFonts w:ascii="Arial" w:hAnsi="Arial"/>
          <w:b w:val="0"/>
          <w:i w:val="0"/>
          <w:sz w:val="20"/>
        </w:rPr>
        <w:t>ASCO may accept gifts consistent with its objects and independence. It may decline or return gifts that are unlawful, revocable, benefit-conferring, reputationally harmful, excessively restricted or impossible to administer.</w:t>
      </w:r>
    </w:p>
    <w:p>
      <w:pPr>
        <w:spacing w:after="80" w:before="140" w:line="252" w:lineRule="auto"/>
      </w:pPr>
      <w:r>
        <w:rPr>
          <w:rFonts w:ascii="Arial" w:hAnsi="Arial"/>
          <w:b/>
          <w:i w:val="0"/>
          <w:color w:val="145A32"/>
          <w:sz w:val="26"/>
        </w:rPr>
        <w:t>4. RESTRICTIONS</w:t>
      </w:r>
    </w:p>
    <w:p>
      <w:pPr>
        <w:spacing w:after="80" w:before="0" w:line="252" w:lineRule="auto"/>
      </w:pPr>
      <w:r>
        <w:rPr>
          <w:rFonts w:ascii="Arial" w:hAnsi="Arial"/>
          <w:b w:val="0"/>
          <w:i w:val="0"/>
          <w:sz w:val="20"/>
        </w:rPr>
        <w:t>A programme designation is a preference unless ASCO confirms a restricted gift in writing. Restricted grants are separately tracked and reported.</w:t>
      </w:r>
    </w:p>
    <w:p>
      <w:pPr>
        <w:spacing w:after="80" w:before="140" w:line="252" w:lineRule="auto"/>
      </w:pPr>
      <w:r>
        <w:rPr>
          <w:rFonts w:ascii="Arial" w:hAnsi="Arial"/>
          <w:b/>
          <w:i w:val="0"/>
          <w:color w:val="145A32"/>
          <w:sz w:val="26"/>
        </w:rPr>
        <w:t>5. RECEIPTS AND REFUNDS</w:t>
      </w:r>
    </w:p>
    <w:p>
      <w:pPr>
        <w:spacing w:after="80" w:before="0" w:line="252" w:lineRule="auto"/>
      </w:pPr>
      <w:r>
        <w:rPr>
          <w:rFonts w:ascii="Arial" w:hAnsi="Arial"/>
          <w:b w:val="0"/>
          <w:i w:val="0"/>
          <w:sz w:val="20"/>
        </w:rPr>
        <w:t>ASCO may issue an ordinary acknowledgement or receipt. It is not a section 18A receipt. Refunds are considered for duplicate, mistaken, unlawful or unadministerable payments under Board-approved procedures.</w:t>
      </w:r>
    </w:p>
    <w:p>
      <w:pPr>
        <w:spacing w:after="80" w:before="140" w:line="252" w:lineRule="auto"/>
      </w:pPr>
      <w:r>
        <w:rPr>
          <w:rFonts w:ascii="Arial" w:hAnsi="Arial"/>
          <w:b/>
          <w:i w:val="0"/>
          <w:color w:val="145A32"/>
          <w:sz w:val="26"/>
        </w:rPr>
        <w:t>6. CONTROLS</w:t>
      </w:r>
    </w:p>
    <w:p>
      <w:pPr>
        <w:spacing w:after="80" w:before="0" w:line="252" w:lineRule="auto"/>
      </w:pPr>
      <w:r>
        <w:rPr>
          <w:rFonts w:ascii="Arial" w:hAnsi="Arial"/>
          <w:b w:val="0"/>
          <w:i w:val="0"/>
          <w:sz w:val="20"/>
        </w:rPr>
        <w:t>Donor due diligence, conflict checks, records, dual approval, privacy and anti-fraud controls apply.</w:t>
      </w:r>
    </w:p>
    <w:p>
      <w:r>
        <w:br/>
      </w:r>
    </w:p>
    <w:p>
      <w:r>
        <w:rPr>
          <w:rFonts w:ascii="Arial" w:hAnsi="Arial"/>
          <w:i/>
          <w:sz w:val="17"/>
        </w:rPr>
        <w:t>Place of approval / execution: 49 Rif Road, Manor Gardens, Durban, KwaZulu-Natal, 4001, South Africa</w:t>
      </w:r>
    </w:p>
    <w:p>
      <w:r>
        <w:rPr>
          <w:rFonts w:ascii="Arial" w:hAnsi="Arial"/>
          <w:b/>
          <w:color w:val="145A32"/>
          <w:sz w:val="24"/>
        </w:rPr>
        <w:t>BOARD APPROVAL SIGNATURES</w:t>
      </w:r>
    </w:p>
    <w:p>
      <w:r>
        <w:rPr>
          <w:rFonts w:ascii="Arial" w:hAnsi="Arial"/>
          <w:i/>
          <w:sz w:val="17"/>
        </w:rPr>
        <w:t>The following signatures are copied from the signed ASCO documents supplied for this purpose. They record Board approval/acknowledgement in the stated capacities; statutory effectiveness, filing and authority remain subject to the applicable approval and filing process.</w:t>
      </w:r>
    </w:p>
    <w:tbl>
      <w:tblPr>
        <w:tblStyle w:val="TableGrid"/>
        <w:tblW w:type="auto" w:w="0"/>
        <w:jc w:val="center"/>
        <w:tblLook w:firstColumn="1" w:firstRow="1" w:lastColumn="0" w:lastRow="0" w:noHBand="0" w:noVBand="1" w:val="04A0"/>
      </w:tblPr>
      <w:tblGrid>
        <w:gridCol w:w="4513"/>
        <w:gridCol w:w="4513"/>
      </w:tblGrid>
      <w:tr>
        <w:tc>
          <w:tcPr>
            <w:tcW w:type="dxa" w:w="4513"/>
            <w:shd w:fill="EAF2EC"/>
            <w:vAlign w:val="center"/>
          </w:tcPr>
          <w:p>
            <w:pPr>
              <w:spacing w:after="40"/>
            </w:pPr>
            <w:r/>
            <w:r>
              <w:rPr>
                <w:rFonts w:ascii="Arial" w:hAnsi="Arial"/>
                <w:b/>
                <w:color w:val="145A32"/>
                <w:sz w:val="16"/>
              </w:rPr>
              <w:t>CHAIRPERSON / FOUNDER</w:t>
            </w:r>
          </w:p>
          <w:p>
            <w:pPr>
              <w:spacing w:after="20"/>
            </w:pPr>
            <w:r>
              <w:rPr>
                <w:rFonts w:ascii="Arial" w:hAnsi="Arial"/>
                <w:b/>
                <w:sz w:val="18"/>
              </w:rPr>
              <w:t>Ms Busisiwe Makhosi Shandu</w:t>
            </w:r>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ICT AND COMMUNICATIONS</w:t>
            </w:r>
          </w:p>
          <w:p>
            <w:pPr>
              <w:spacing w:after="20"/>
            </w:pPr>
            <w:r>
              <w:rPr>
                <w:rFonts w:ascii="Arial" w:hAnsi="Arial"/>
                <w:b/>
                <w:sz w:val="18"/>
              </w:rPr>
              <w:t>Mr Thapelo Nelson Maqalika</w:t>
            </w:r>
          </w:p>
          <w:p>
            <w:pPr>
              <w:jc w:val="center"/>
            </w:pPr>
            <w:r>
              <w:drawing>
                <wp:inline xmlns:a="http://schemas.openxmlformats.org/drawingml/2006/main" xmlns:pic="http://schemas.openxmlformats.org/drawingml/2006/picture">
                  <wp:extent cx="1325880" cy="176784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25880" cy="176784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r>
        <w:tc>
          <w:tcPr>
            <w:tcW w:type="dxa" w:w="4513"/>
            <w:shd w:fill="EAF2EC"/>
            <w:vAlign w:val="center"/>
          </w:tcPr>
          <w:p>
            <w:pPr>
              <w:spacing w:after="40"/>
            </w:pPr>
            <w:r/>
            <w:r>
              <w:rPr>
                <w:rFonts w:ascii="Arial" w:hAnsi="Arial"/>
                <w:b/>
                <w:color w:val="145A32"/>
                <w:sz w:val="16"/>
              </w:rPr>
              <w:t>EXECUTIVE DIRECTOR</w:t>
            </w:r>
          </w:p>
          <w:p>
            <w:pPr>
              <w:spacing w:after="20"/>
            </w:pPr>
            <w:r>
              <w:rPr>
                <w:rFonts w:ascii="Arial" w:hAnsi="Arial"/>
                <w:b/>
                <w:sz w:val="18"/>
              </w:rPr>
              <w:t>Mr Bhekisisa Shandu</w:t>
            </w:r>
          </w:p>
          <w:p>
            <w:pPr>
              <w:jc w:val="center"/>
            </w:pPr>
            <w:r>
              <w:drawing>
                <wp:inline xmlns:a="http://schemas.openxmlformats.org/drawingml/2006/main" xmlns:pic="http://schemas.openxmlformats.org/drawingml/2006/picture">
                  <wp:extent cx="1325880" cy="132588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5880" cy="1325880"/>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PEOPLE AND CULTURE / FINANCE AND PROCUREMENT</w:t>
            </w:r>
          </w:p>
          <w:p>
            <w:pPr>
              <w:spacing w:after="20"/>
            </w:pPr>
            <w:r>
              <w:rPr>
                <w:rFonts w:ascii="Arial" w:hAnsi="Arial"/>
                <w:b/>
                <w:sz w:val="18"/>
              </w:rPr>
              <w:t>Mr Khulekani Gumede</w:t>
            </w:r>
          </w:p>
          <w:p>
            <w:pPr>
              <w:jc w:val="center"/>
            </w:pPr>
            <w:r>
              <w:drawing>
                <wp:inline xmlns:a="http://schemas.openxmlformats.org/drawingml/2006/main" xmlns:pic="http://schemas.openxmlformats.org/drawingml/2006/picture">
                  <wp:extent cx="1325880" cy="139451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1394516"/>
                          </a:xfrm>
                          <a:prstGeom prst="rect"/>
                        </pic:spPr>
                      </pic:pic>
                    </a:graphicData>
                  </a:graphic>
                </wp:inline>
              </w:drawing>
            </w:r>
          </w:p>
          <w:p>
            <w:r>
              <w:rPr>
                <w:rFonts w:ascii="Arial" w:hAnsi="Arial"/>
                <w:sz w:val="16"/>
              </w:rPr>
              <w:t>Date: 6 September 2026</w:t>
            </w:r>
          </w:p>
          <w:p>
            <w:r>
              <w:rPr>
                <w:rFonts w:ascii="Arial" w:hAnsi="Arial"/>
                <w:i/>
                <w:sz w:val="14"/>
              </w:rPr>
              <w:t>Signature copied from supplied signed document</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  |  OFFICIAL </w:t>
    </w:r>
    <w:r>
      <w:rPr>
        <w:color w:val="145A32"/>
        <w:sz w:val="16"/>
      </w:rPr>
      <w:t>DONATIONS AND REFUNDS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