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DATA PROTECTION AND RECORDS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Data Protection and Records Management Procedure</w:t>
            </w:r>
          </w:p>
        </w:tc>
      </w:tr>
      <w:tr>
        <w:tc>
          <w:tcPr>
            <w:tcW w:type="dxa" w:w="3456"/>
          </w:tcPr>
          <w:p>
            <w:r/>
            <w:r>
              <w:rPr>
                <w:b w:val="0"/>
                <w:sz w:val="18"/>
              </w:rPr>
              <w:t>Document number / reference</w:t>
            </w:r>
          </w:p>
        </w:tc>
        <w:tc>
          <w:tcPr>
            <w:tcW w:type="dxa" w:w="6768"/>
          </w:tcPr>
          <w:p>
            <w:r/>
            <w:r>
              <w:rPr>
                <w:b w:val="0"/>
                <w:sz w:val="18"/>
              </w:rPr>
              <w:t>ASCO-DON-PROC-005-2026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designated privacy function;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 and Scope</w:t>
      </w:r>
    </w:p>
    <w:p>
      <w:pPr>
        <w:spacing w:after="120" w:line="276" w:lineRule="auto"/>
      </w:pPr>
      <w:r>
        <w:rPr>
          <w:b w:val="0"/>
          <w:sz w:val="21"/>
        </w:rPr>
        <w:t>This procedure applies to donor, prospective donor, representative, beneficiary and payment-related personal information handled in donation administration. It supplements, and must not contradict, ASCO’s Privacy and POPIA Notice, PAIA Manual and applicable Information Regulator requirements.</w:t>
      </w:r>
    </w:p>
    <w:p>
      <w:pPr>
        <w:spacing w:before="200" w:after="80"/>
      </w:pPr>
      <w:r>
        <w:rPr>
          <w:b/>
          <w:color w:val="145A32"/>
          <w:sz w:val="30"/>
        </w:rPr>
        <w:t>2. Information Collected and Purpose</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Information</w:t>
            </w:r>
          </w:p>
        </w:tc>
        <w:tc>
          <w:tcPr>
            <w:tcW w:type="dxa" w:w="3009"/>
            <w:shd w:fill="145A32"/>
          </w:tcPr>
          <w:p>
            <w:r/>
            <w:r>
              <w:rPr>
                <w:b/>
                <w:sz w:val="18"/>
              </w:rPr>
              <w:t>Purpose</w:t>
            </w:r>
          </w:p>
        </w:tc>
        <w:tc>
          <w:tcPr>
            <w:tcW w:type="dxa" w:w="3009"/>
            <w:shd w:fill="145A32"/>
          </w:tcPr>
          <w:p>
            <w:r/>
            <w:r>
              <w:rPr>
                <w:b/>
                <w:sz w:val="18"/>
              </w:rPr>
              <w:t>Access</w:t>
            </w:r>
          </w:p>
        </w:tc>
      </w:tr>
      <w:tr>
        <w:tc>
          <w:tcPr>
            <w:tcW w:type="dxa" w:w="3009"/>
          </w:tcPr>
          <w:p>
            <w:r/>
            <w:r>
              <w:rPr>
                <w:b w:val="0"/>
                <w:sz w:val="18"/>
              </w:rPr>
              <w:t>Name, contact and identity information</w:t>
            </w:r>
          </w:p>
        </w:tc>
        <w:tc>
          <w:tcPr>
            <w:tcW w:type="dxa" w:w="3009"/>
          </w:tcPr>
          <w:p>
            <w:r/>
            <w:r>
              <w:rPr>
                <w:b w:val="0"/>
                <w:sz w:val="18"/>
              </w:rPr>
              <w:t>Donation identification, communication, due diligence and acknowledgement.</w:t>
            </w:r>
          </w:p>
        </w:tc>
        <w:tc>
          <w:tcPr>
            <w:tcW w:type="dxa" w:w="3009"/>
          </w:tcPr>
          <w:p>
            <w:r/>
            <w:r>
              <w:rPr>
                <w:b w:val="0"/>
                <w:sz w:val="18"/>
              </w:rPr>
              <w:t>Gift Administrator, Executive Director, authorised finance/compliance personnel.</w:t>
            </w:r>
          </w:p>
        </w:tc>
      </w:tr>
      <w:tr>
        <w:tc>
          <w:tcPr>
            <w:tcW w:type="dxa" w:w="3009"/>
          </w:tcPr>
          <w:p>
            <w:r/>
            <w:r>
              <w:rPr>
                <w:b w:val="0"/>
                <w:sz w:val="18"/>
              </w:rPr>
              <w:t>Payment, accounting and source information</w:t>
            </w:r>
          </w:p>
        </w:tc>
        <w:tc>
          <w:tcPr>
            <w:tcW w:type="dxa" w:w="3009"/>
          </w:tcPr>
          <w:p>
            <w:r/>
            <w:r>
              <w:rPr>
                <w:b w:val="0"/>
                <w:sz w:val="18"/>
              </w:rPr>
              <w:t>Verification, reconciliation, reporting, audit and legal compliance.</w:t>
            </w:r>
          </w:p>
        </w:tc>
        <w:tc>
          <w:tcPr>
            <w:tcW w:type="dxa" w:w="3009"/>
          </w:tcPr>
          <w:p>
            <w:r/>
            <w:r>
              <w:rPr>
                <w:b w:val="0"/>
                <w:sz w:val="18"/>
              </w:rPr>
              <w:t>Authorised finance personnel, Executive Director, committee/Board on need-to-know basis.</w:t>
            </w:r>
          </w:p>
        </w:tc>
      </w:tr>
      <w:tr>
        <w:tc>
          <w:tcPr>
            <w:tcW w:type="dxa" w:w="3009"/>
          </w:tcPr>
          <w:p>
            <w:r/>
            <w:r>
              <w:rPr>
                <w:b w:val="0"/>
                <w:sz w:val="18"/>
              </w:rPr>
              <w:t>Restrictions, correspondence and agreements</w:t>
            </w:r>
          </w:p>
        </w:tc>
        <w:tc>
          <w:tcPr>
            <w:tcW w:type="dxa" w:w="3009"/>
          </w:tcPr>
          <w:p>
            <w:r/>
            <w:r>
              <w:rPr>
                <w:b w:val="0"/>
                <w:sz w:val="18"/>
              </w:rPr>
              <w:t>Administering donor terms, reporting and dispute resolution.</w:t>
            </w:r>
          </w:p>
        </w:tc>
        <w:tc>
          <w:tcPr>
            <w:tcW w:type="dxa" w:w="3009"/>
          </w:tcPr>
          <w:p>
            <w:r/>
            <w:r>
              <w:rPr>
                <w:b w:val="0"/>
                <w:sz w:val="18"/>
              </w:rPr>
              <w:t>Gift Administrator, Executive Director, committee/Board on need-to-know basis.</w:t>
            </w:r>
          </w:p>
        </w:tc>
      </w:tr>
      <w:tr>
        <w:tc>
          <w:tcPr>
            <w:tcW w:type="dxa" w:w="3009"/>
          </w:tcPr>
          <w:p>
            <w:r/>
            <w:r>
              <w:rPr>
                <w:b w:val="0"/>
                <w:sz w:val="18"/>
              </w:rPr>
              <w:t>Special or sensitive information</w:t>
            </w:r>
          </w:p>
        </w:tc>
        <w:tc>
          <w:tcPr>
            <w:tcW w:type="dxa" w:w="3009"/>
          </w:tcPr>
          <w:p>
            <w:r/>
            <w:r>
              <w:rPr>
                <w:b w:val="0"/>
                <w:sz w:val="18"/>
              </w:rPr>
              <w:t>Only where necessary, lawful and protected; minimise collection.</w:t>
            </w:r>
          </w:p>
        </w:tc>
        <w:tc>
          <w:tcPr>
            <w:tcW w:type="dxa" w:w="3009"/>
          </w:tcPr>
          <w:p>
            <w:r/>
            <w:r>
              <w:rPr>
                <w:b w:val="0"/>
                <w:sz w:val="18"/>
              </w:rPr>
              <w:t>Strictly limited and access-controlled.</w:t>
            </w:r>
          </w:p>
        </w:tc>
      </w:tr>
    </w:tbl>
    <w:p>
      <w:pPr>
        <w:spacing w:before="200" w:after="80"/>
      </w:pPr>
      <w:r>
        <w:rPr>
          <w:b/>
          <w:color w:val="145A32"/>
          <w:sz w:val="30"/>
        </w:rPr>
        <w:t>3. Processing Principles</w:t>
      </w:r>
    </w:p>
    <w:p>
      <w:pPr>
        <w:pStyle w:val="ListBullet"/>
        <w:spacing w:after="60"/>
      </w:pPr>
      <w:r>
        <w:t>Collect only information necessary for a defined lawful purpose and provide appropriate notice.</w:t>
      </w:r>
    </w:p>
    <w:p>
      <w:pPr>
        <w:pStyle w:val="ListBullet"/>
        <w:spacing w:after="60"/>
      </w:pPr>
      <w:r>
        <w:t>Keep information accurate, confidential, secure and accessible only to authorised persons.</w:t>
      </w:r>
    </w:p>
    <w:p>
      <w:pPr>
        <w:pStyle w:val="ListBullet"/>
        <w:spacing w:after="60"/>
      </w:pPr>
      <w:r>
        <w:t>Do not use donor information for unrelated marketing without appropriate consent or lawful basis.</w:t>
      </w:r>
    </w:p>
    <w:p>
      <w:pPr>
        <w:pStyle w:val="ListBullet"/>
        <w:spacing w:after="60"/>
      </w:pPr>
      <w:r>
        <w:t>Use processors such as payment, email, hosting or accounting providers only under appropriate contractual and security controls.</w:t>
      </w:r>
    </w:p>
    <w:p>
      <w:pPr>
        <w:pStyle w:val="ListBullet"/>
        <w:spacing w:after="60"/>
      </w:pPr>
      <w:r>
        <w:t>International transfers or disclosures must be assessed and handled lawfully.</w:t>
      </w:r>
    </w:p>
    <w:p>
      <w:pPr>
        <w:spacing w:before="200" w:after="80"/>
      </w:pPr>
      <w:r>
        <w:rPr>
          <w:b/>
          <w:color w:val="145A32"/>
          <w:sz w:val="30"/>
        </w:rPr>
        <w:t>4. Access, Retention and Disposal</w:t>
      </w:r>
    </w:p>
    <w:p>
      <w:pPr>
        <w:pStyle w:val="ListNumber"/>
        <w:spacing w:after="60"/>
      </w:pPr>
      <w:r>
        <w:t>Store records in approved organisational locations with role-based access.</w:t>
      </w:r>
    </w:p>
    <w:p>
      <w:pPr>
        <w:pStyle w:val="ListNumber"/>
        <w:spacing w:after="60"/>
      </w:pPr>
      <w:r>
        <w:t>Maintain an access log for sensitive donor and due-diligence files where practicable.</w:t>
      </w:r>
    </w:p>
    <w:p>
      <w:pPr>
        <w:pStyle w:val="ListNumber"/>
        <w:spacing w:after="60"/>
      </w:pPr>
      <w:r>
        <w:t>Retain records for the longer of legal, SARS, donor, audit or approved retention requirements.</w:t>
      </w:r>
    </w:p>
    <w:p>
      <w:pPr>
        <w:pStyle w:val="ListNumber"/>
        <w:spacing w:after="60"/>
      </w:pPr>
      <w:r>
        <w:t>Review retention annually and securely delete, destroy or anonymise records no longer required.</w:t>
      </w:r>
    </w:p>
    <w:p>
      <w:pPr>
        <w:pStyle w:val="ListNumber"/>
        <w:spacing w:after="60"/>
      </w:pPr>
      <w:r>
        <w:t>Preserve records subject to an audit, complaint, dispute, investigation or legal hold.</w:t>
      </w:r>
    </w:p>
    <w:p>
      <w:pPr>
        <w:spacing w:before="200" w:after="80"/>
      </w:pPr>
      <w:r>
        <w:rPr>
          <w:b/>
          <w:color w:val="145A32"/>
          <w:sz w:val="30"/>
        </w:rPr>
        <w:t>5. Requests and Breaches</w:t>
      </w:r>
    </w:p>
    <w:p>
      <w:pPr>
        <w:spacing w:after="120" w:line="276" w:lineRule="auto"/>
      </w:pPr>
      <w:r>
        <w:rPr>
          <w:b w:val="0"/>
          <w:sz w:val="21"/>
        </w:rPr>
        <w:t>Donor requests for access, correction, objection or deletion are routed to ASCO’s designated privacy contact and managed under the Privacy and POPIA Notice and PAIA Manual. Suspected loss, unauthorised access or disclosure must be reported immediately to the Executive Director and designated privacy function, contained, documented and escalated to the Information Regulator and affected data subjects where required.</w:t>
      </w:r>
    </w:p>
    <w:p>
      <w:pPr>
        <w:spacing w:before="200" w:after="80"/>
      </w:pPr>
      <w:r>
        <w:rPr>
          <w:b/>
          <w:color w:val="145A32"/>
          <w:sz w:val="30"/>
        </w:rPr>
        <w:t>6. Oversight</w:t>
      </w:r>
    </w:p>
    <w:p>
      <w:pPr>
        <w:spacing w:after="120" w:line="276" w:lineRule="auto"/>
      </w:pPr>
      <w:r>
        <w:rPr>
          <w:b w:val="0"/>
          <w:sz w:val="21"/>
        </w:rPr>
        <w:t>The Executive Director maintains the procedure and access controls. The Board oversees material privacy risks. Donor data incidents are reported through the Safeguarding and Complaints Policy where they involve vulnerable persons, abuse, retaliation or safety risk.</w:t>
      </w:r>
    </w:p>
    <w:p>
      <w:pPr>
        <w:spacing w:before="200" w:after="80"/>
      </w:pPr>
      <w:r>
        <w:rPr>
          <w:b/>
          <w:color w:val="145A32"/>
          <w:sz w:val="30"/>
        </w:rPr>
        <w:t>7. References</w:t>
      </w:r>
    </w:p>
    <w:p>
      <w:pPr>
        <w:spacing w:after="120" w:line="276" w:lineRule="auto"/>
      </w:pPr>
      <w:r>
        <w:rPr>
          <w:b w:val="0"/>
          <w:sz w:val="21"/>
        </w:rPr>
        <w:t>Official Information Regulator guidance on security compromises and POPIA, plus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DATA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