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DONOR DUE DILIGENCE AND ANTI-FINANCIAL-CRIME PROCEDURE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Donor Due Diligence and Anti-Financial-Crime Procedure</w:t>
            </w:r>
          </w:p>
        </w:tc>
      </w:tr>
      <w:tr>
        <w:tc>
          <w:tcPr>
            <w:tcW w:type="dxa" w:w="3456"/>
          </w:tcPr>
          <w:p>
            <w:r/>
            <w:r>
              <w:rPr>
                <w:b w:val="0"/>
                <w:sz w:val="18"/>
              </w:rPr>
              <w:t>Document number / reference</w:t>
            </w:r>
          </w:p>
        </w:tc>
        <w:tc>
          <w:tcPr>
            <w:tcW w:type="dxa" w:w="6768"/>
          </w:tcPr>
          <w:p>
            <w:r/>
            <w:r>
              <w:rPr>
                <w:b w:val="0"/>
                <w:sz w:val="18"/>
              </w:rPr>
              <w:t>ASCO-DON-PROC-003-2026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16 September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Executive Director; Finance and Procurement Committee; Board escalation</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 is an approved Public Benefit Organisation (SARS PBO Reference No. 930092287). ASCO’s Section 18A application remains pending. Section 18A tax-deductible donation receipts may only be issued once Section 18A approval has been granted and in accordance with the applicable SARS approval.</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1. Purpose</w:t>
      </w:r>
    </w:p>
    <w:p>
      <w:pPr>
        <w:spacing w:after="120" w:line="276" w:lineRule="auto"/>
      </w:pPr>
      <w:r>
        <w:rPr>
          <w:b w:val="0"/>
          <w:sz w:val="21"/>
        </w:rPr>
        <w:t>This proportionate procedure helps ASCO identify and manage fraud, corruption, money-laundering, terrorist-financing, sanctions, prohibited-party, conflict-of-interest, reputational and improper-influence risks without treating ASCO as a bank or financial institution.</w:t>
      </w:r>
    </w:p>
    <w:p>
      <w:pPr>
        <w:spacing w:before="200" w:after="80"/>
      </w:pPr>
      <w:r>
        <w:rPr>
          <w:b/>
          <w:color w:val="145A32"/>
          <w:sz w:val="30"/>
        </w:rPr>
        <w:t>2. Minimum Due Diligence</w:t>
      </w:r>
    </w:p>
    <w:p>
      <w:pPr>
        <w:pStyle w:val="ListBullet"/>
        <w:spacing w:after="60"/>
      </w:pPr>
      <w:r>
        <w:t>Individuals: name, contact details, country where relevant, purpose and source information proportionate to risk.</w:t>
      </w:r>
    </w:p>
    <w:p>
      <w:pPr>
        <w:pStyle w:val="ListBullet"/>
        <w:spacing w:after="60"/>
      </w:pPr>
      <w:r>
        <w:t>Companies and organisations: legal name, registration or public identity information where relevant, authorised representative, beneficial ownership or controlling persons where relevant, purpose and source information.</w:t>
      </w:r>
    </w:p>
    <w:p>
      <w:pPr>
        <w:pStyle w:val="ListBullet"/>
        <w:spacing w:after="60"/>
      </w:pPr>
      <w:r>
        <w:t>Material or restricted gifts: written agreement, source-of-funds/source-of-assets declaration, restrictions, valuation and approval.</w:t>
      </w:r>
    </w:p>
    <w:p>
      <w:pPr>
        <w:pStyle w:val="ListBullet"/>
        <w:spacing w:after="60"/>
      </w:pPr>
      <w:r>
        <w:t>International gifts: country, payment route, intermediary, purpose and sanctions/restricted-party screening where legally applicable.</w:t>
      </w:r>
    </w:p>
    <w:p>
      <w:pPr>
        <w:spacing w:before="200" w:after="80"/>
      </w:pPr>
      <w:r>
        <w:rPr>
          <w:b/>
          <w:color w:val="145A32"/>
          <w:sz w:val="30"/>
        </w:rPr>
        <w:t>3. Risk Factors</w:t>
      </w:r>
    </w:p>
    <w:p>
      <w:pPr>
        <w:pStyle w:val="ListBullet"/>
        <w:spacing w:after="60"/>
      </w:pPr>
      <w:r>
        <w:t>Unusual, complex or unexplained payment route; third-party payer; cash or foreign currency without clear rationale.</w:t>
      </w:r>
    </w:p>
    <w:p>
      <w:pPr>
        <w:pStyle w:val="ListBullet"/>
        <w:spacing w:after="60"/>
      </w:pPr>
      <w:r>
        <w:t>Donor refuses reasonable identification or source information.</w:t>
      </w:r>
    </w:p>
    <w:p>
      <w:pPr>
        <w:pStyle w:val="ListBullet"/>
        <w:spacing w:after="60"/>
      </w:pPr>
      <w:r>
        <w:t>PEP, sanctions or restricted-party indicator where legally applicable.</w:t>
      </w:r>
    </w:p>
    <w:p>
      <w:pPr>
        <w:pStyle w:val="ListBullet"/>
        <w:spacing w:after="60"/>
      </w:pPr>
      <w:r>
        <w:t>Adverse information involving fraud, corruption, human-rights abuse, exploitation or reputational harm.</w:t>
      </w:r>
    </w:p>
    <w:p>
      <w:pPr>
        <w:pStyle w:val="ListBullet"/>
        <w:spacing w:after="60"/>
      </w:pPr>
      <w:r>
        <w:t>Demand for secrecy, improper influence, exclusive access, beneficiary selection or governance rights.</w:t>
      </w:r>
    </w:p>
    <w:p>
      <w:pPr>
        <w:pStyle w:val="ListBullet"/>
        <w:spacing w:after="60"/>
      </w:pPr>
      <w:r>
        <w:t>Gift inconsistent with donor profile, stated purpose or the proposed programme.</w:t>
      </w:r>
    </w:p>
    <w:p>
      <w:pPr>
        <w:spacing w:before="200" w:after="80"/>
      </w:pPr>
      <w:r>
        <w:rPr>
          <w:b/>
          <w:color w:val="145A32"/>
          <w:sz w:val="30"/>
        </w:rPr>
        <w:t>4. Risk Levels and Escalation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fill="145A32"/>
          </w:tcPr>
          <w:p>
            <w:r/>
            <w:r>
              <w:rPr>
                <w:b/>
                <w:sz w:val="18"/>
              </w:rPr>
              <w:t>Level</w:t>
            </w:r>
          </w:p>
        </w:tc>
        <w:tc>
          <w:tcPr>
            <w:tcW w:type="dxa" w:w="2256"/>
            <w:shd w:fill="145A32"/>
          </w:tcPr>
          <w:p>
            <w:r/>
            <w:r>
              <w:rPr>
                <w:b/>
                <w:sz w:val="18"/>
              </w:rPr>
              <w:t>Decision rule</w:t>
            </w:r>
          </w:p>
        </w:tc>
        <w:tc>
          <w:tcPr>
            <w:tcW w:type="dxa" w:w="2256"/>
            <w:shd w:fill="145A32"/>
          </w:tcPr>
          <w:p>
            <w:r/>
            <w:r>
              <w:rPr>
                <w:b/>
                <w:sz w:val="18"/>
              </w:rPr>
              <w:t>Control</w:t>
            </w:r>
          </w:p>
        </w:tc>
        <w:tc>
          <w:tcPr>
            <w:tcW w:type="dxa" w:w="2256"/>
            <w:shd w:fill="145A32"/>
          </w:tcPr>
          <w:p>
            <w:r/>
            <w:r>
              <w:rPr>
                <w:b/>
                <w:sz w:val="18"/>
              </w:rPr>
              <w:t>Escalation</w:t>
            </w:r>
          </w:p>
        </w:tc>
      </w:tr>
      <w:tr>
        <w:tc>
          <w:tcPr>
            <w:tcW w:type="dxa" w:w="2256"/>
          </w:tcPr>
          <w:p>
            <w:r/>
            <w:r>
              <w:rPr>
                <w:b w:val="0"/>
                <w:sz w:val="18"/>
              </w:rPr>
              <w:t>Low</w:t>
            </w:r>
          </w:p>
        </w:tc>
        <w:tc>
          <w:tcPr>
            <w:tcW w:type="dxa" w:w="2256"/>
          </w:tcPr>
          <w:p>
            <w:r/>
            <w:r>
              <w:rPr>
                <w:b w:val="0"/>
                <w:sz w:val="18"/>
              </w:rPr>
              <w:t>No material indicators and ordinary purpose.</w:t>
            </w:r>
          </w:p>
        </w:tc>
        <w:tc>
          <w:tcPr>
            <w:tcW w:type="dxa" w:w="2256"/>
          </w:tcPr>
          <w:p>
            <w:r/>
            <w:r>
              <w:rPr>
                <w:b w:val="0"/>
                <w:sz w:val="18"/>
              </w:rPr>
              <w:t>Basic identity, register, payment verification and conflict check.</w:t>
            </w:r>
          </w:p>
        </w:tc>
        <w:tc>
          <w:tcPr>
            <w:tcW w:type="dxa" w:w="2256"/>
          </w:tcPr>
          <w:p>
            <w:r/>
            <w:r>
              <w:rPr>
                <w:b w:val="0"/>
                <w:sz w:val="18"/>
              </w:rPr>
              <w:t>Executive Director.</w:t>
            </w:r>
          </w:p>
        </w:tc>
      </w:tr>
      <w:tr>
        <w:tc>
          <w:tcPr>
            <w:tcW w:type="dxa" w:w="2256"/>
          </w:tcPr>
          <w:p>
            <w:r/>
            <w:r>
              <w:rPr>
                <w:b w:val="0"/>
                <w:sz w:val="18"/>
              </w:rPr>
              <w:t>Medium</w:t>
            </w:r>
          </w:p>
        </w:tc>
        <w:tc>
          <w:tcPr>
            <w:tcW w:type="dxa" w:w="2256"/>
          </w:tcPr>
          <w:p>
            <w:r/>
            <w:r>
              <w:rPr>
                <w:b w:val="0"/>
                <w:sz w:val="18"/>
              </w:rPr>
              <w:t>One or more manageable indicators.</w:t>
            </w:r>
          </w:p>
        </w:tc>
        <w:tc>
          <w:tcPr>
            <w:tcW w:type="dxa" w:w="2256"/>
          </w:tcPr>
          <w:p>
            <w:r/>
            <w:r>
              <w:rPr>
                <w:b w:val="0"/>
                <w:sz w:val="18"/>
              </w:rPr>
              <w:t>Enhanced documents, written terms, source explanation and committee review.</w:t>
            </w:r>
          </w:p>
        </w:tc>
        <w:tc>
          <w:tcPr>
            <w:tcW w:type="dxa" w:w="2256"/>
          </w:tcPr>
          <w:p>
            <w:r/>
            <w:r>
              <w:rPr>
                <w:b w:val="0"/>
                <w:sz w:val="18"/>
              </w:rPr>
              <w:t>Executive Director + Finance and Procurement Committee.</w:t>
            </w:r>
          </w:p>
        </w:tc>
      </w:tr>
      <w:tr>
        <w:tc>
          <w:tcPr>
            <w:tcW w:type="dxa" w:w="2256"/>
          </w:tcPr>
          <w:p>
            <w:r/>
            <w:r>
              <w:rPr>
                <w:b w:val="0"/>
                <w:sz w:val="18"/>
              </w:rPr>
              <w:t>High</w:t>
            </w:r>
          </w:p>
        </w:tc>
        <w:tc>
          <w:tcPr>
            <w:tcW w:type="dxa" w:w="2256"/>
          </w:tcPr>
          <w:p>
            <w:r/>
            <w:r>
              <w:rPr>
                <w:b w:val="0"/>
                <w:sz w:val="18"/>
              </w:rPr>
              <w:t>Unresolved legal, crime, sanctions, corruption, prohibited-benefit or reputational concern.</w:t>
            </w:r>
          </w:p>
        </w:tc>
        <w:tc>
          <w:tcPr>
            <w:tcW w:type="dxa" w:w="2256"/>
          </w:tcPr>
          <w:p>
            <w:r/>
            <w:r>
              <w:rPr>
                <w:b w:val="0"/>
                <w:sz w:val="18"/>
              </w:rPr>
              <w:t>Pause funds and activity; document assessment; obtain legal advice where needed.</w:t>
            </w:r>
          </w:p>
        </w:tc>
        <w:tc>
          <w:tcPr>
            <w:tcW w:type="dxa" w:w="2256"/>
          </w:tcPr>
          <w:p>
            <w:r/>
            <w:r>
              <w:rPr>
                <w:b w:val="0"/>
                <w:sz w:val="18"/>
              </w:rPr>
              <w:t>Board must approve acceptance or refusal; report to authorities where legally required.</w:t>
            </w:r>
          </w:p>
        </w:tc>
      </w:tr>
    </w:tbl>
    <w:p>
      <w:pPr>
        <w:spacing w:before="200" w:after="80"/>
      </w:pPr>
      <w:r>
        <w:rPr>
          <w:b/>
          <w:color w:val="145A32"/>
          <w:sz w:val="30"/>
        </w:rPr>
        <w:t>5. Procedure</w:t>
      </w:r>
    </w:p>
    <w:p>
      <w:pPr>
        <w:pStyle w:val="ListNumber"/>
        <w:spacing w:after="60"/>
      </w:pPr>
      <w:r>
        <w:t>Open a due-diligence file linked to the donation reference.</w:t>
      </w:r>
    </w:p>
    <w:p>
      <w:pPr>
        <w:pStyle w:val="ListNumber"/>
        <w:spacing w:after="60"/>
      </w:pPr>
      <w:r>
        <w:t>Collect proportionate documents and record what was reviewed.</w:t>
      </w:r>
    </w:p>
    <w:p>
      <w:pPr>
        <w:pStyle w:val="ListNumber"/>
        <w:spacing w:after="60"/>
      </w:pPr>
      <w:r>
        <w:t>Perform conflict, adverse-information and restricted-party checks where appropriate.</w:t>
      </w:r>
    </w:p>
    <w:p>
      <w:pPr>
        <w:pStyle w:val="ListNumber"/>
        <w:spacing w:after="60"/>
      </w:pPr>
      <w:r>
        <w:t>Assess source, purpose, conditions and donor influence.</w:t>
      </w:r>
    </w:p>
    <w:p>
      <w:pPr>
        <w:pStyle w:val="ListNumber"/>
        <w:spacing w:after="60"/>
      </w:pPr>
      <w:r>
        <w:t>Document risk rating, rationale, reviewer and approval.</w:t>
      </w:r>
    </w:p>
    <w:p>
      <w:pPr>
        <w:pStyle w:val="ListNumber"/>
        <w:spacing w:after="60"/>
      </w:pPr>
      <w:r>
        <w:t>Do not use or acknowledge a high-risk donation until resolved.</w:t>
      </w:r>
    </w:p>
    <w:p>
      <w:pPr>
        <w:pStyle w:val="ListNumber"/>
        <w:spacing w:after="60"/>
      </w:pPr>
      <w:r>
        <w:t>Monitor material donors and restrictions throughout the relationship.</w:t>
      </w:r>
    </w:p>
    <w:p>
      <w:pPr>
        <w:pStyle w:val="ListNumber"/>
        <w:spacing w:after="60"/>
      </w:pPr>
      <w:r>
        <w:t>Escalate suspicious conduct through the Safeguarding and Complaints Policy, Board channels or competent authorities as appropriate.</w:t>
      </w:r>
    </w:p>
    <w:p>
      <w:pPr>
        <w:spacing w:before="200" w:after="80"/>
      </w:pPr>
      <w:r>
        <w:rPr>
          <w:b/>
          <w:color w:val="145A32"/>
          <w:sz w:val="30"/>
        </w:rPr>
        <w:t>6. Confidentiality and Data Protection</w:t>
      </w:r>
    </w:p>
    <w:p>
      <w:pPr>
        <w:spacing w:after="120" w:line="276" w:lineRule="auto"/>
      </w:pPr>
      <w:r>
        <w:rPr>
          <w:b w:val="0"/>
          <w:sz w:val="21"/>
        </w:rPr>
        <w:t>Due-diligence records are confidential, access-controlled and used only for lawful organisational, regulatory, donor and risk purposes. Do not collect excessive information. Process personal information consistently with the Privacy and POPIA Notice and PAIA Manual.</w:t>
      </w:r>
    </w:p>
    <w:p>
      <w:pPr>
        <w:spacing w:before="200" w:after="80"/>
      </w:pPr>
      <w:r>
        <w:rPr>
          <w:b/>
          <w:color w:val="145A32"/>
          <w:sz w:val="30"/>
        </w:rPr>
        <w:t>7. Records and Review</w:t>
      </w:r>
    </w:p>
    <w:p>
      <w:pPr>
        <w:spacing w:after="120" w:line="276" w:lineRule="auto"/>
      </w:pPr>
      <w:r>
        <w:rPr>
          <w:b w:val="0"/>
          <w:sz w:val="21"/>
        </w:rPr>
        <w:t>The Gift Administrator maintains the assessment; the Executive Director reviews medium-risk files; the Finance and Procurement Committee reviews quarterly; the Board reviews high-risk matters and material trends. Retain the assessment and decision trail with the donation record.</w:t>
      </w:r>
    </w:p>
    <w:p>
      <w:pPr>
        <w:spacing w:before="200" w:after="80"/>
      </w:pPr>
      <w:r>
        <w:rPr>
          <w:b/>
          <w:color w:val="145A32"/>
          <w:sz w:val="30"/>
        </w:rPr>
        <w:t>8. References</w:t>
      </w:r>
    </w:p>
    <w:p>
      <w:pPr>
        <w:spacing w:after="120" w:line="276" w:lineRule="auto"/>
      </w:pPr>
      <w:r>
        <w:rPr>
          <w:b w:val="0"/>
          <w:sz w:val="21"/>
        </w:rPr>
        <w:t>This procedure is risk-based and should be read with applicable South African law, SARS guidance, ASCO’s Donations and Refunds Policy, Safeguarding and Complaints Policy, Privacy and POPIA Notice, and Delegation of Authority and Financial Management Policy.</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DONOR DUE DILIGENCE PROCEDURE</w:t>
    </w:r>
    <w:r>
      <w:rPr>
        <w:color w:val="145A32"/>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