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INFORMATION DISCLOSURE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Information Disclosure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ASCO-GOV-004-2026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Information Officer / Executive Director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promotes lawful transparency while protecting personal, confidential, privileged, donor, safeguarding, security and commercially sensitive information.</w:t>
      </w:r>
    </w:p>
    <w:p>
      <w:pPr>
        <w:spacing w:before="200"/>
      </w:pPr>
      <w:r>
        <w:rPr>
          <w:b/>
          <w:color w:val="145A32"/>
          <w:sz w:val="28"/>
        </w:rPr>
        <w:t>2. Disclosure Rules</w:t>
      </w:r>
    </w:p>
    <w:p>
      <w:pPr>
        <w:pStyle w:val="ListBullet"/>
        <w:spacing w:after="60"/>
      </w:pPr>
      <w:r>
        <w:t>Publish approved public documents and information through official channels.</w:t>
      </w:r>
    </w:p>
    <w:p>
      <w:pPr>
        <w:pStyle w:val="ListBullet"/>
        <w:spacing w:after="60"/>
      </w:pPr>
      <w:r>
        <w:t>Verify authority before releasing internal or confidential records.</w:t>
      </w:r>
    </w:p>
    <w:p>
      <w:pPr>
        <w:pStyle w:val="ListBullet"/>
        <w:spacing w:after="60"/>
      </w:pPr>
      <w:r>
        <w:t>Apply PAIA and POPIA procedures to requests.</w:t>
      </w:r>
    </w:p>
    <w:p>
      <w:pPr>
        <w:pStyle w:val="ListBullet"/>
        <w:spacing w:after="60"/>
      </w:pPr>
      <w:r>
        <w:t>Use minimum necessary disclosure and redact protected third-party information.</w:t>
      </w:r>
    </w:p>
    <w:p>
      <w:pPr>
        <w:pStyle w:val="ListBullet"/>
        <w:spacing w:after="60"/>
      </w:pPr>
      <w:r>
        <w:t>Record material disclosures, requests, refusals and approvals.</w:t>
      </w:r>
    </w:p>
    <w:p>
      <w:pPr>
        <w:spacing w:before="200"/>
      </w:pPr>
      <w:r>
        <w:rPr>
          <w:b/>
          <w:color w:val="145A32"/>
          <w:sz w:val="28"/>
        </w:rPr>
        <w:t>3. Public Statements</w:t>
      </w:r>
    </w:p>
    <w:p>
      <w:pPr>
        <w:spacing w:after="120" w:line="276" w:lineRule="auto"/>
      </w:pPr>
      <w:r>
        <w:rPr>
          <w:sz w:val="21"/>
        </w:rPr>
        <w:t>Only authorised persons may issue official ASCO statements. Public communications must be accurate, non-discriminatory, non-partisan and consistent with ASCO’s mission.</w:t>
      </w:r>
    </w:p>
    <w:p>
      <w:pPr>
        <w:spacing w:before="200"/>
      </w:pPr>
      <w:r>
        <w:rPr>
          <w:b/>
          <w:color w:val="145A32"/>
          <w:sz w:val="28"/>
        </w:rPr>
        <w:t>4. Review</w:t>
      </w:r>
    </w:p>
    <w:p>
      <w:pPr>
        <w:spacing w:after="120" w:line="276" w:lineRule="auto"/>
      </w:pPr>
      <w:r>
        <w:rPr>
          <w:sz w:val="21"/>
        </w:rPr>
        <w:t>The Information Officer or authorised function reviews disclosure practices annually and reports material risks to the Board.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