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Northwind Tools — Q1 2026 Quarterly Report</w:t>
      </w:r>
    </w:p>
    <w:p>
      <w:r>
        <w:t xml:space="preserve">Prepared by the finance team on 2026-04-08 for the leadership review.</w:t>
      </w:r>
    </w:p>
    <w:p>
      <w:pPr>
        <w:pStyle w:val="Heading2"/>
      </w:pPr>
      <w:r>
        <w:t xml:space="preserve">1. Headline numbers</w:t>
      </w:r>
    </w:p>
    <w:p>
      <w:r>
        <w:t xml:space="preserve">Total revenue for Q1 2026 was 1,284,500 USD, up 12.4% from Q4 2025 (1,142,800 USD). Gross margin held at 41.2%.</w:t>
      </w:r>
    </w:p>
    <w:p>
      <w:r>
        <w:t xml:space="preserve">Operating expenses were 702,300 USD; the largest line was payroll at 418,900 USD for a headcount of 47.</w:t>
      </w:r>
    </w:p>
    <w:p>
      <w:pPr>
        <w:pStyle w:val="Heading2"/>
      </w:pPr>
      <w:r>
        <w:t xml:space="preserve">2. Revenue by region</w:t>
      </w:r>
    </w:p>
    <w:p>
      <w:pPr>
        <w:pStyle w:val="ListBullet"/>
      </w:pPr>
      <w:r>
        <w:t xml:space="preserve">North: 512,300 USD (39.9%)</w:t>
      </w:r>
    </w:p>
    <w:p>
      <w:pPr>
        <w:pStyle w:val="ListBullet"/>
      </w:pPr>
      <w:r>
        <w:t xml:space="preserve">South: 398,700 USD (31.0%)</w:t>
      </w:r>
    </w:p>
    <w:p>
      <w:pPr>
        <w:pStyle w:val="ListBullet"/>
      </w:pPr>
      <w:r>
        <w:t xml:space="preserve">West: 373,500 USD (29.1%)</w:t>
      </w:r>
    </w:p>
    <w:p>
      <w:pPr>
        <w:pStyle w:val="Heading2"/>
      </w:pPr>
      <w:r>
        <w:t xml:space="preserve">3. Risks</w:t>
      </w:r>
    </w:p>
    <w:p>
      <w:r>
        <w:t xml:space="preserve">Two enterprise renewals (Acme Logistics, 86,000 USD; Brightline Retail, 54,500 USD) slipped from March into April and are not in the Q1 figure.</w:t>
      </w:r>
    </w:p>
    <w:p>
      <w:r>
        <w:t xml:space="preserve">Cloud hosting cost grew 18% quarter over quarter and now exceeds the 60,000 USD budget line by 7,200 USD.</w:t>
      </w:r>
    </w:p>
    <w:p>
      <w:pPr>
        <w:pStyle w:val="Heading2"/>
      </w:pPr>
      <w:r>
        <w:t xml:space="preserve">4. Action items</w:t>
      </w:r>
    </w:p>
    <w:p>
      <w:pPr>
        <w:pStyle w:val="ListBullet"/>
      </w:pPr>
      <w:r>
        <w:t xml:space="preserve">Finance: close the two slipped renewals by 2026-04-30 (owner: Dana Whitfield).</w:t>
      </w:r>
    </w:p>
    <w:p>
      <w:pPr>
        <w:pStyle w:val="ListBullet"/>
      </w:pPr>
      <w:r>
        <w:t xml:space="preserve">Engineering: present a hosting cost reduction plan by 2026-05-15 (owner: Priya Raman).</w:t>
      </w:r>
    </w:p>
    <w:p>
      <w:pPr>
        <w:pStyle w:val="ListBullet"/>
      </w:pPr>
      <w:r>
        <w:t xml:space="preserve">Sales: hire two account executives for the West region before 2026-06-01 (owner: Marcus Lee).</w:t>
      </w:r>
    </w:p>
    <w:sectPr/>
  </w:body>
</w:document>
</file>