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Melnraksts - nav juridiski apstiprināts</w:t>
        <w:br/>
      </w:r>
      <w:r>
        <w:rPr>
          <w:rFonts w:ascii="Arial" w:hAnsi="Arial"/>
          <w:b w:val="0"/>
          <w:i w:val="0"/>
          <w:color w:val="6B5410"/>
          <w:sz w:val="20"/>
        </w:rPr>
        <w:t xml:space="preserve">Šis teksts sagatavots, balstoties uz Civillikumu, Autortiesību likumu, Vispārīgo datu aizsardzības regulu (GDPR) un reāliem Latvijas konkursu nolikumu piemēriem (t.sk. Datu valsts inspekcijas paša jauniešu konkursa nolikumu). Vietas ar </w:t>
      </w:r>
      <w:r>
        <w:rPr>
          <w:rFonts w:ascii="Arial" w:hAnsi="Arial"/>
          <w:b/>
          <w:i w:val="0"/>
          <w:color w:val="CC0717"/>
          <w:sz w:val="20"/>
        </w:rPr>
        <w:t>[...]</w:t>
      </w:r>
      <w:r>
        <w:rPr>
          <w:rFonts w:ascii="Arial" w:hAnsi="Arial"/>
          <w:b w:val="0"/>
          <w:i w:val="0"/>
          <w:color w:val="6B5410"/>
          <w:sz w:val="20"/>
        </w:rPr>
        <w:t xml:space="preserve"> vēl jāaizpilda ar konkrētiem datiem. Pirms konkursa reālas palaišanas dokuments jāapstiprina ar juristu — īpaši 7. un 8. sadaļa.</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r>
        <w:rPr>
          <w:rFonts w:ascii="Arial" w:hAnsi="Arial"/>
          <w:b/>
          <w:i w:val="0"/>
          <w:sz w:val="22"/>
        </w:rPr>
        <w:t>inboxtalismans.lv</w:t>
      </w:r>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saņemot balvu,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Juridiska piezīme</w:t>
        <w:br/>
      </w:r>
      <w:r>
        <w:rPr>
          <w:rFonts w:ascii="Arial" w:hAnsi="Arial"/>
          <w:b w:val="0"/>
          <w:i w:val="0"/>
          <w:color w:val="6B5410"/>
          <w:sz w:val="20"/>
        </w:rPr>
        <w:t>Šī sadaļa balstīta uz vispārīgiem Autortiesību likuma un Civillikuma principiem, bet pirms reālas palaišanas jāapstiprina ar juristu - īpaši attiecībā uz nepilngadīgo rīcībspēju un licences/tiesību nodošanas precīzu formulējumu.</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 - šis nosacījums jāformulē skaidri kopā ar juristu.)</w:t>
      </w:r>
    </w:p>
    <w:p>
      <w:r>
        <w:rPr>
          <w:rFonts w:ascii="Arial" w:hAnsi="Arial"/>
          <w:b w:val="0"/>
          <w:i w:val="0"/>
          <w:sz w:val="22"/>
        </w:rPr>
        <w:t>8.7. Dalībnieks un/vai viņa likumiskais pārstāvis ir tiesīgs vērsties ar sūdzību Datu valsts inspekcijā (</w:t>
      </w:r>
      <w:hyperlink r:id="rId9">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0">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p>
      <w:pPr>
        <w:spacing w:before="320"/>
      </w:pPr>
      <w:r>
        <w:rPr>
          <w:rFonts w:ascii="Arial" w:hAnsi="Arial"/>
          <w:b w:val="0"/>
          <w:i w:val="0"/>
          <w:color w:val="8C8279"/>
          <w:sz w:val="18"/>
        </w:rPr>
        <w:t>Sagatavots, izpētot: Civillikumu (219. pants - pilngadība), Autortiesību likumu (14. panta 5. daļa - morālās tiesības), Vispārīgo datu aizsardzības regulu, Reklāmas likumu, kā arī Datu valsts inspekcijas, Latvijas Republikas Patentu valdes un pašvaldību jauniešu konkursu nolikumu piemērus.</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vi.gov.lv" TargetMode="External"/><Relationship Id="rId10"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