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0E1B6" w14:textId="01FC6BFA" w:rsidR="003E5B97" w:rsidRDefault="006D01BD">
      <w:pPr>
        <w:rPr>
          <w:b/>
          <w:bCs/>
        </w:rPr>
      </w:pPr>
      <w:r>
        <w:rPr>
          <w:b/>
          <w:bCs/>
        </w:rPr>
        <w:t>Location, time of the data collection</w:t>
      </w:r>
    </w:p>
    <w:p w14:paraId="1016DAD2" w14:textId="5A6457E8" w:rsidR="000B4A37" w:rsidRDefault="000B4A37">
      <w:pPr>
        <w:rPr>
          <w:b/>
          <w:bCs/>
        </w:rPr>
      </w:pPr>
      <w:r w:rsidRPr="00804E3B">
        <w:rPr>
          <w:b/>
          <w:bCs/>
        </w:rPr>
        <w:t>Data:</w:t>
      </w:r>
    </w:p>
    <w:p w14:paraId="66BFB747" w14:textId="6DC825A8" w:rsidR="002538C3" w:rsidRDefault="00811567" w:rsidP="00811567">
      <w:pPr>
        <w:rPr>
          <w:b/>
          <w:bCs/>
        </w:rPr>
      </w:pPr>
      <w:r w:rsidRPr="00811567">
        <w:rPr>
          <w:b/>
          <w:bCs/>
        </w:rPr>
        <w:t>FIR</w:t>
      </w:r>
      <w:r w:rsidR="00286684">
        <w:rPr>
          <w:b/>
          <w:bCs/>
        </w:rPr>
        <w:t xml:space="preserve"> (</w:t>
      </w:r>
      <w:r w:rsidR="00286684" w:rsidRPr="00286684">
        <w:rPr>
          <w:b/>
          <w:bCs/>
        </w:rPr>
        <w:t>FIR: Efficacy, Safety, and Biomarker Analysis of a Phase II Open-Label Study of Atezolizumab in PD-L1–Selected Patients With NSCLC</w:t>
      </w:r>
      <w:r w:rsidR="00286684">
        <w:rPr>
          <w:b/>
          <w:bCs/>
        </w:rPr>
        <w:t>)</w:t>
      </w:r>
      <w:r w:rsidR="002538C3">
        <w:rPr>
          <w:b/>
          <w:bCs/>
        </w:rPr>
        <w:t xml:space="preserve"> </w:t>
      </w:r>
      <w:hyperlink r:id="rId5" w:history="1">
        <w:r w:rsidR="002538C3" w:rsidRPr="00570126">
          <w:rPr>
            <w:rStyle w:val="Hyperlink"/>
            <w:b/>
            <w:bCs/>
          </w:rPr>
          <w:t>https://clinicaltrials.gov/study/NCT01846416</w:t>
        </w:r>
      </w:hyperlink>
      <w:r w:rsidR="002538C3">
        <w:rPr>
          <w:b/>
          <w:bCs/>
        </w:rPr>
        <w:t xml:space="preserve"> </w:t>
      </w:r>
    </w:p>
    <w:p w14:paraId="04501E73" w14:textId="77777777" w:rsidR="002538C3" w:rsidRDefault="002538C3" w:rsidP="00811567">
      <w:r>
        <w:t xml:space="preserve">Date: </w:t>
      </w:r>
      <w:r w:rsidR="008D29D2" w:rsidRPr="002538C3">
        <w:t xml:space="preserve">2015 – 2017 </w:t>
      </w:r>
    </w:p>
    <w:p w14:paraId="41C78BE0" w14:textId="749B4918" w:rsidR="00811567" w:rsidRPr="002538C3" w:rsidRDefault="00CA2E8E" w:rsidP="00811567">
      <w:r w:rsidRPr="002538C3">
        <w:t xml:space="preserve">31 locations in (USA, UK, </w:t>
      </w:r>
      <w:r w:rsidR="00286684" w:rsidRPr="002538C3">
        <w:t>Belgium and France)</w:t>
      </w:r>
    </w:p>
    <w:p w14:paraId="11937650" w14:textId="2844603C" w:rsidR="009163FD" w:rsidRDefault="009163FD" w:rsidP="009163FD">
      <w:pPr>
        <w:rPr>
          <w:b/>
          <w:bCs/>
        </w:rPr>
      </w:pPr>
      <w:r w:rsidRPr="009163FD">
        <w:rPr>
          <w:b/>
          <w:bCs/>
        </w:rPr>
        <w:t xml:space="preserve">Atezolizumab versus docetaxel for patients with previously treated non-small-cell lung cancer (POPLAR): a </w:t>
      </w:r>
      <w:proofErr w:type="spellStart"/>
      <w:r w:rsidRPr="009163FD">
        <w:rPr>
          <w:b/>
          <w:bCs/>
        </w:rPr>
        <w:t>multicentre</w:t>
      </w:r>
      <w:proofErr w:type="spellEnd"/>
      <w:r w:rsidRPr="009163FD">
        <w:rPr>
          <w:b/>
          <w:bCs/>
        </w:rPr>
        <w:t xml:space="preserve">, open-label, phase 2 </w:t>
      </w:r>
      <w:proofErr w:type="spellStart"/>
      <w:r w:rsidRPr="009163FD">
        <w:rPr>
          <w:b/>
          <w:bCs/>
        </w:rPr>
        <w:t>randomised</w:t>
      </w:r>
      <w:proofErr w:type="spellEnd"/>
      <w:r w:rsidRPr="009163FD">
        <w:rPr>
          <w:b/>
          <w:bCs/>
        </w:rPr>
        <w:t xml:space="preserve"> controlled trial</w:t>
      </w:r>
      <w:r w:rsidR="006E0FAE">
        <w:rPr>
          <w:b/>
          <w:bCs/>
        </w:rPr>
        <w:t xml:space="preserve"> </w:t>
      </w:r>
      <w:hyperlink r:id="rId6" w:history="1">
        <w:r w:rsidR="006E0FAE" w:rsidRPr="00570126">
          <w:rPr>
            <w:rStyle w:val="Hyperlink"/>
            <w:b/>
            <w:bCs/>
          </w:rPr>
          <w:t>https://clinicaltrials.gov/study/NCT01903993</w:t>
        </w:r>
      </w:hyperlink>
      <w:r w:rsidR="006E0FAE">
        <w:rPr>
          <w:b/>
          <w:bCs/>
        </w:rPr>
        <w:t xml:space="preserve"> </w:t>
      </w:r>
    </w:p>
    <w:p w14:paraId="7E1E7043" w14:textId="77777777" w:rsidR="002538C3" w:rsidRDefault="002538C3" w:rsidP="009163FD">
      <w:r>
        <w:t xml:space="preserve">Date: </w:t>
      </w:r>
      <w:r w:rsidR="00984D61" w:rsidRPr="002538C3">
        <w:t>2013 -2018</w:t>
      </w:r>
    </w:p>
    <w:p w14:paraId="0827221F" w14:textId="6F8FE3AE" w:rsidR="009163FD" w:rsidRPr="002538C3" w:rsidRDefault="00A543BE" w:rsidP="009163FD">
      <w:r w:rsidRPr="002538C3">
        <w:t xml:space="preserve">65 locations in USA, Canada, France, South Korea, </w:t>
      </w:r>
      <w:r w:rsidR="00C07884" w:rsidRPr="002538C3">
        <w:t xml:space="preserve">Belgium, Italy, </w:t>
      </w:r>
      <w:r w:rsidR="00A4119A" w:rsidRPr="002538C3">
        <w:t>Poland, Spain, Sweden, Thailand, Turkey, UK</w:t>
      </w:r>
    </w:p>
    <w:p w14:paraId="60562A8E" w14:textId="77777777" w:rsidR="005F69D7" w:rsidRDefault="005F69D7" w:rsidP="009163FD">
      <w:pPr>
        <w:rPr>
          <w:b/>
          <w:bCs/>
        </w:rPr>
      </w:pPr>
    </w:p>
    <w:p w14:paraId="4C2D1F63" w14:textId="6F438A24" w:rsidR="005F69D7" w:rsidRPr="005F69D7" w:rsidRDefault="005F69D7" w:rsidP="005F69D7">
      <w:pPr>
        <w:rPr>
          <w:b/>
          <w:bCs/>
        </w:rPr>
      </w:pPr>
      <w:r w:rsidRPr="005F69D7">
        <w:rPr>
          <w:b/>
          <w:bCs/>
        </w:rPr>
        <w:t>Phase II Trial of Atezolizumab As First-Line or Subsequent Therapy for Patients With Programmed Death-Ligand 1–Selected Advanced Non–Small-Cell Lung Cancer (BIRCH)</w:t>
      </w:r>
      <w:r w:rsidR="006E0FAE">
        <w:rPr>
          <w:b/>
          <w:bCs/>
        </w:rPr>
        <w:t xml:space="preserve"> </w:t>
      </w:r>
      <w:hyperlink r:id="rId7" w:history="1">
        <w:r w:rsidR="006E0FAE" w:rsidRPr="00570126">
          <w:rPr>
            <w:rStyle w:val="Hyperlink"/>
            <w:b/>
            <w:bCs/>
          </w:rPr>
          <w:t>https://clinicaltrials.gov/study/NCT02031458</w:t>
        </w:r>
      </w:hyperlink>
      <w:r w:rsidR="006E0FAE">
        <w:rPr>
          <w:b/>
          <w:bCs/>
        </w:rPr>
        <w:t xml:space="preserve"> </w:t>
      </w:r>
    </w:p>
    <w:p w14:paraId="05B8FCC9" w14:textId="77777777" w:rsidR="002538C3" w:rsidRDefault="002538C3" w:rsidP="009163FD">
      <w:r>
        <w:t xml:space="preserve">Date: </w:t>
      </w:r>
      <w:r w:rsidR="00E31614" w:rsidRPr="002538C3">
        <w:t xml:space="preserve">2014 – 2019 </w:t>
      </w:r>
    </w:p>
    <w:p w14:paraId="233F42A7" w14:textId="561ACAB2" w:rsidR="005F69D7" w:rsidRPr="002538C3" w:rsidRDefault="00F76089" w:rsidP="009163FD">
      <w:r w:rsidRPr="002538C3">
        <w:t xml:space="preserve">110 locations, USA, </w:t>
      </w:r>
      <w:r w:rsidR="002538C3" w:rsidRPr="002538C3">
        <w:t>Australia</w:t>
      </w:r>
      <w:r w:rsidRPr="002538C3">
        <w:t>, Belgium, Bosnia,</w:t>
      </w:r>
      <w:r w:rsidR="002538C3">
        <w:t xml:space="preserve"> </w:t>
      </w:r>
      <w:r w:rsidR="00B77A2F" w:rsidRPr="002538C3">
        <w:t xml:space="preserve">Bulgaria, Canada, France, </w:t>
      </w:r>
      <w:proofErr w:type="spellStart"/>
      <w:r w:rsidR="00B77A2F" w:rsidRPr="002538C3">
        <w:t>Goergia</w:t>
      </w:r>
      <w:proofErr w:type="spellEnd"/>
      <w:r w:rsidR="00B77A2F" w:rsidRPr="002538C3">
        <w:t xml:space="preserve">, Germany, Hong Kong, Italy, Japan, </w:t>
      </w:r>
      <w:r w:rsidR="001A13D8" w:rsidRPr="002538C3">
        <w:t xml:space="preserve">Netherlands, Singapore, </w:t>
      </w:r>
      <w:r w:rsidR="002538C3" w:rsidRPr="002538C3">
        <w:t>Slovenia</w:t>
      </w:r>
      <w:r w:rsidR="001A13D8" w:rsidRPr="002538C3">
        <w:t>, Spain, Spain, Switzerland, Turkey</w:t>
      </w:r>
    </w:p>
    <w:p w14:paraId="2D689096" w14:textId="18C17BAB" w:rsidR="00A1331E" w:rsidRPr="00A1331E" w:rsidRDefault="00A1331E" w:rsidP="00A1331E">
      <w:pPr>
        <w:rPr>
          <w:b/>
          <w:bCs/>
        </w:rPr>
      </w:pPr>
      <w:r w:rsidRPr="00A1331E">
        <w:rPr>
          <w:b/>
          <w:bCs/>
        </w:rPr>
        <w:t>A Study of Atezolizumab Compared With Docetaxel in Participants With Locally Advanced or Metastatic Non-Small Cell Lung Cancer Who Have Failed Platinum-Containing Therapy (OAK)</w:t>
      </w:r>
      <w:r w:rsidR="006E0FAE">
        <w:rPr>
          <w:b/>
          <w:bCs/>
        </w:rPr>
        <w:t xml:space="preserve"> </w:t>
      </w:r>
      <w:hyperlink r:id="rId8" w:history="1">
        <w:r w:rsidR="006E0FAE" w:rsidRPr="00570126">
          <w:rPr>
            <w:rStyle w:val="Hyperlink"/>
            <w:b/>
            <w:bCs/>
          </w:rPr>
          <w:t>https://clinicaltrials.gov/study/NCT02008227</w:t>
        </w:r>
      </w:hyperlink>
      <w:r w:rsidR="006E0FAE">
        <w:rPr>
          <w:b/>
          <w:bCs/>
        </w:rPr>
        <w:t xml:space="preserve"> </w:t>
      </w:r>
    </w:p>
    <w:p w14:paraId="6AF3FB7D" w14:textId="77777777" w:rsidR="002538C3" w:rsidRDefault="002538C3" w:rsidP="009163FD">
      <w:r>
        <w:t xml:space="preserve">Date: </w:t>
      </w:r>
      <w:r w:rsidR="00A96096" w:rsidRPr="002538C3">
        <w:t>2014 – 2019  </w:t>
      </w:r>
    </w:p>
    <w:p w14:paraId="01AA59DD" w14:textId="0AB54E0D" w:rsidR="00A96096" w:rsidRPr="002538C3" w:rsidRDefault="00A96096" w:rsidP="009163FD">
      <w:r w:rsidRPr="002538C3">
        <w:t>208 locations</w:t>
      </w:r>
      <w:r w:rsidR="002538C3">
        <w:t xml:space="preserve">: </w:t>
      </w:r>
      <w:r w:rsidRPr="002538C3">
        <w:t xml:space="preserve">USA, Argentina, Australia, Brazil, </w:t>
      </w:r>
      <w:r w:rsidR="00D11625" w:rsidRPr="002538C3">
        <w:t xml:space="preserve">Canada, Chile, Finland, France, Germany, Greece, </w:t>
      </w:r>
      <w:r w:rsidR="002538C3" w:rsidRPr="002538C3">
        <w:t>Guatemala</w:t>
      </w:r>
      <w:r w:rsidR="00D11625" w:rsidRPr="002538C3">
        <w:t xml:space="preserve">, Hungary, </w:t>
      </w:r>
      <w:r w:rsidR="00DD49BD" w:rsidRPr="002538C3">
        <w:t xml:space="preserve">Italy, Japan, South Kore, Netherlands, Norway, </w:t>
      </w:r>
      <w:r w:rsidR="002538C3" w:rsidRPr="002538C3">
        <w:t>Panama</w:t>
      </w:r>
      <w:r w:rsidR="00DD49BD" w:rsidRPr="002538C3">
        <w:t xml:space="preserve">, </w:t>
      </w:r>
      <w:r w:rsidR="002538C3" w:rsidRPr="002538C3">
        <w:t>Poland</w:t>
      </w:r>
      <w:r w:rsidR="00DD49BD" w:rsidRPr="002538C3">
        <w:t xml:space="preserve">, Portugal, </w:t>
      </w:r>
      <w:r w:rsidR="009E1049" w:rsidRPr="002538C3">
        <w:t>Russia, Serbia</w:t>
      </w:r>
    </w:p>
    <w:p w14:paraId="10ED15F5" w14:textId="77777777" w:rsidR="009542B7" w:rsidRDefault="009542B7" w:rsidP="009163FD">
      <w:pPr>
        <w:rPr>
          <w:b/>
          <w:bCs/>
        </w:rPr>
      </w:pPr>
    </w:p>
    <w:p w14:paraId="73946FF9" w14:textId="7BE094C0" w:rsidR="009542B7" w:rsidRPr="009542B7" w:rsidRDefault="009542B7" w:rsidP="009542B7">
      <w:pPr>
        <w:rPr>
          <w:b/>
          <w:bCs/>
        </w:rPr>
      </w:pPr>
      <w:proofErr w:type="spellStart"/>
      <w:r>
        <w:rPr>
          <w:b/>
          <w:bCs/>
        </w:rPr>
        <w:lastRenderedPageBreak/>
        <w:t>IMvigor</w:t>
      </w:r>
      <w:proofErr w:type="spellEnd"/>
      <w:r>
        <w:rPr>
          <w:b/>
          <w:bCs/>
        </w:rPr>
        <w:t xml:space="preserve">: </w:t>
      </w:r>
      <w:r w:rsidRPr="009542B7">
        <w:rPr>
          <w:b/>
          <w:bCs/>
        </w:rPr>
        <w:t>A Study of Atezolizumab in Participants With Locally Advanced or Metastatic Urothelial Bladder Cancer (Cohort 1)</w:t>
      </w:r>
      <w:r w:rsidR="00F729B8">
        <w:rPr>
          <w:b/>
          <w:bCs/>
        </w:rPr>
        <w:t xml:space="preserve"> </w:t>
      </w:r>
      <w:hyperlink r:id="rId9" w:history="1">
        <w:r w:rsidR="00F729B8" w:rsidRPr="00570126">
          <w:rPr>
            <w:rStyle w:val="Hyperlink"/>
            <w:b/>
            <w:bCs/>
          </w:rPr>
          <w:t>https://clinicaltrials.gov/study/NCT02951767</w:t>
        </w:r>
      </w:hyperlink>
      <w:r w:rsidR="00F729B8">
        <w:rPr>
          <w:b/>
          <w:bCs/>
        </w:rPr>
        <w:t xml:space="preserve"> </w:t>
      </w:r>
    </w:p>
    <w:p w14:paraId="791CF50E" w14:textId="77777777" w:rsidR="002538C3" w:rsidRDefault="002538C3" w:rsidP="009163FD">
      <w:r>
        <w:t xml:space="preserve">Date: </w:t>
      </w:r>
      <w:r w:rsidR="00242414" w:rsidRPr="002538C3">
        <w:t>2014 -2023  </w:t>
      </w:r>
    </w:p>
    <w:p w14:paraId="0DF75878" w14:textId="18288D1F" w:rsidR="00811567" w:rsidRPr="00B30700" w:rsidRDefault="00242414">
      <w:r w:rsidRPr="002538C3">
        <w:t>77 locations</w:t>
      </w:r>
      <w:r w:rsidR="002538C3">
        <w:t xml:space="preserve"> in </w:t>
      </w:r>
      <w:r w:rsidR="00B41A41" w:rsidRPr="002538C3">
        <w:t xml:space="preserve">USA, </w:t>
      </w:r>
      <w:r w:rsidR="002538C3" w:rsidRPr="002538C3">
        <w:t>France</w:t>
      </w:r>
      <w:r w:rsidR="00B41A41" w:rsidRPr="002538C3">
        <w:t>, Germany, Netherlands, Italy, Spain</w:t>
      </w:r>
      <w:r w:rsidR="00F729B8" w:rsidRPr="002538C3">
        <w:t>, UK</w:t>
      </w:r>
    </w:p>
    <w:p w14:paraId="41520D12" w14:textId="77777777" w:rsidR="00811567" w:rsidRPr="00804E3B" w:rsidRDefault="00811567">
      <w:pPr>
        <w:rPr>
          <w:b/>
          <w:bCs/>
        </w:rPr>
      </w:pPr>
    </w:p>
    <w:p w14:paraId="36302B59" w14:textId="06698ABA" w:rsidR="000B4A37" w:rsidRDefault="000B4A37">
      <w:r>
        <w:t xml:space="preserve">This is </w:t>
      </w:r>
      <w:r w:rsidRPr="000B4A37">
        <w:t>a dataset of 1472 patients with three or more measurements per target lesion, of which 652 patients had six or more data points.</w:t>
      </w:r>
      <w:r>
        <w:t xml:space="preserve"> Here is the dataset dictionary. </w:t>
      </w:r>
    </w:p>
    <w:tbl>
      <w:tblPr>
        <w:tblW w:w="7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6430"/>
      </w:tblGrid>
      <w:tr w:rsidR="000B4A37" w:rsidRPr="000B4A37" w14:paraId="6232B24C" w14:textId="77777777" w:rsidTr="00B61723">
        <w:trPr>
          <w:trHeight w:val="300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3E6F81" w14:textId="77777777" w:rsidR="000B4A37" w:rsidRPr="000B4A37" w:rsidRDefault="000B4A37" w:rsidP="00B61723">
            <w:r w:rsidRPr="000B4A37">
              <w:rPr>
                <w:b/>
                <w:bCs/>
              </w:rPr>
              <w:t>STUDYID</w:t>
            </w:r>
          </w:p>
        </w:tc>
        <w:tc>
          <w:tcPr>
            <w:tcW w:w="6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4856B2" w14:textId="77777777" w:rsidR="000B4A37" w:rsidRPr="000B4A37" w:rsidRDefault="000B4A37" w:rsidP="00B61723">
            <w:r w:rsidRPr="000B4A37">
              <w:t>Study id</w:t>
            </w:r>
          </w:p>
        </w:tc>
      </w:tr>
      <w:tr w:rsidR="000B4A37" w:rsidRPr="000B4A37" w14:paraId="0A03B549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EEF0F7" w14:textId="77777777" w:rsidR="000B4A37" w:rsidRPr="000B4A37" w:rsidRDefault="000B4A37" w:rsidP="00B61723">
            <w:r w:rsidRPr="000B4A37">
              <w:rPr>
                <w:b/>
                <w:bCs/>
              </w:rPr>
              <w:t>USUBJID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9F0806" w14:textId="77777777" w:rsidR="000B4A37" w:rsidRPr="000B4A37" w:rsidRDefault="000B4A37" w:rsidP="00B61723">
            <w:r w:rsidRPr="000B4A37">
              <w:t>Patient id</w:t>
            </w:r>
          </w:p>
        </w:tc>
      </w:tr>
      <w:tr w:rsidR="000B4A37" w:rsidRPr="000B4A37" w14:paraId="6365DF96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4E6299" w14:textId="77777777" w:rsidR="000B4A37" w:rsidRPr="000B4A37" w:rsidRDefault="000B4A37" w:rsidP="00B61723">
            <w:r w:rsidRPr="000B4A37">
              <w:rPr>
                <w:b/>
                <w:bCs/>
              </w:rPr>
              <w:t>VISIT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296073" w14:textId="77777777" w:rsidR="000B4A37" w:rsidRPr="000B4A37" w:rsidRDefault="000B4A37" w:rsidP="00B61723">
            <w:r w:rsidRPr="000B4A37">
              <w:t>Type of visit</w:t>
            </w:r>
          </w:p>
        </w:tc>
      </w:tr>
      <w:tr w:rsidR="000B4A37" w:rsidRPr="000B4A37" w14:paraId="7EA45C12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3F6617" w14:textId="77777777" w:rsidR="000B4A37" w:rsidRPr="000B4A37" w:rsidRDefault="000B4A37" w:rsidP="00B61723">
            <w:r w:rsidRPr="000B4A37">
              <w:rPr>
                <w:b/>
                <w:bCs/>
              </w:rPr>
              <w:t>VISITDY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3C7013" w14:textId="3DDD20EE" w:rsidR="000B4A37" w:rsidRPr="000B4A37" w:rsidRDefault="000B4A37" w:rsidP="00B61723">
            <w:r w:rsidRPr="000B4A37">
              <w:t>Visit day</w:t>
            </w:r>
            <w:r w:rsidR="00ED6A48">
              <w:t xml:space="preserve"> </w:t>
            </w:r>
            <w:r w:rsidR="0083428A">
              <w:t xml:space="preserve">(the day from the initial </w:t>
            </w:r>
            <w:r w:rsidR="00BA5DEE">
              <w:t xml:space="preserve">measurement </w:t>
            </w:r>
            <w:r w:rsidR="0083428A">
              <w:t xml:space="preserve">day. If negative </w:t>
            </w:r>
            <w:r w:rsidR="00BA5DEE">
              <w:t>means it is before the first measurement)</w:t>
            </w:r>
          </w:p>
        </w:tc>
      </w:tr>
      <w:tr w:rsidR="000B4A37" w:rsidRPr="000B4A37" w14:paraId="619C9723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6D1036" w14:textId="77777777" w:rsidR="000B4A37" w:rsidRPr="000B4A37" w:rsidRDefault="000B4A37" w:rsidP="00B61723">
            <w:r w:rsidRPr="000B4A37">
              <w:rPr>
                <w:b/>
                <w:bCs/>
              </w:rPr>
              <w:t>TRDY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1389DC" w14:textId="0FA221B8" w:rsidR="000B4A37" w:rsidRPr="000B4A37" w:rsidRDefault="000B4A37" w:rsidP="00B61723">
            <w:r w:rsidRPr="000B4A37">
              <w:t>Treatment day</w:t>
            </w:r>
            <w:r w:rsidR="002C6378">
              <w:t xml:space="preserve"> </w:t>
            </w:r>
            <w:r w:rsidR="00BA5DEE">
              <w:t>(the day from the initial measurement day. If negative means it is before the first measurement)</w:t>
            </w:r>
          </w:p>
        </w:tc>
      </w:tr>
      <w:tr w:rsidR="000B4A37" w:rsidRPr="000B4A37" w14:paraId="49AC12DB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5EFEDE" w14:textId="77777777" w:rsidR="000B4A37" w:rsidRPr="000B4A37" w:rsidRDefault="000B4A37" w:rsidP="00B61723">
            <w:r w:rsidRPr="000B4A37">
              <w:rPr>
                <w:b/>
                <w:bCs/>
              </w:rPr>
              <w:t>TRLINKID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646CBC" w14:textId="77777777" w:rsidR="000B4A37" w:rsidRPr="000B4A37" w:rsidRDefault="000B4A37" w:rsidP="00B61723">
            <w:r w:rsidRPr="000B4A37">
              <w:t>Tumor id</w:t>
            </w:r>
          </w:p>
        </w:tc>
      </w:tr>
      <w:tr w:rsidR="000B4A37" w:rsidRPr="000B4A37" w14:paraId="5FF52E56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5C3BFD" w14:textId="77777777" w:rsidR="000B4A37" w:rsidRPr="000B4A37" w:rsidRDefault="000B4A37" w:rsidP="00B61723">
            <w:r w:rsidRPr="000B4A37">
              <w:rPr>
                <w:b/>
                <w:bCs/>
              </w:rPr>
              <w:t>TUSTRESC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765059" w14:textId="0B918903" w:rsidR="000B4A37" w:rsidRPr="000B4A37" w:rsidRDefault="000B4A37" w:rsidP="00B61723">
            <w:r w:rsidRPr="000B4A37">
              <w:rPr>
                <w:lang w:val="en-GB"/>
              </w:rPr>
              <w:t>Tumor status (target</w:t>
            </w:r>
            <w:r w:rsidR="00F633CD">
              <w:rPr>
                <w:lang w:val="en-GB"/>
              </w:rPr>
              <w:t xml:space="preserve"> (</w:t>
            </w:r>
            <w:r w:rsidR="00F633CD" w:rsidRPr="00F633CD">
              <w:t>tumors that are measured and tracked closely over time</w:t>
            </w:r>
            <w:r w:rsidR="00F633CD">
              <w:t>)</w:t>
            </w:r>
            <w:r w:rsidRPr="000B4A37">
              <w:rPr>
                <w:lang w:val="en-GB"/>
              </w:rPr>
              <w:t>/non-target</w:t>
            </w:r>
            <w:r w:rsidR="00CF0A4D">
              <w:rPr>
                <w:lang w:val="en-GB"/>
              </w:rPr>
              <w:t xml:space="preserve"> (T</w:t>
            </w:r>
            <w:proofErr w:type="spellStart"/>
            <w:r w:rsidR="00CF0A4D" w:rsidRPr="00CF0A4D">
              <w:t>umors</w:t>
            </w:r>
            <w:proofErr w:type="spellEnd"/>
            <w:r w:rsidR="00CF0A4D" w:rsidRPr="00CF0A4D">
              <w:t xml:space="preserve"> that are not selected as key indicators for measurement but are still monitored</w:t>
            </w:r>
            <w:r w:rsidR="00CF0A4D">
              <w:t xml:space="preserve">) </w:t>
            </w:r>
            <w:r w:rsidRPr="000B4A37">
              <w:rPr>
                <w:lang w:val="en-GB"/>
              </w:rPr>
              <w:t>/new</w:t>
            </w:r>
            <w:r w:rsidR="00CF0A4D">
              <w:rPr>
                <w:lang w:val="en-GB"/>
              </w:rPr>
              <w:t xml:space="preserve"> (</w:t>
            </w:r>
            <w:r w:rsidR="00CF0A4D" w:rsidRPr="00CF0A4D">
              <w:t>A new tumor or lesion that develops after the initiation of treatment</w:t>
            </w:r>
            <w:r w:rsidRPr="000B4A37">
              <w:rPr>
                <w:lang w:val="en-GB"/>
              </w:rPr>
              <w:t>)</w:t>
            </w:r>
          </w:p>
        </w:tc>
      </w:tr>
      <w:tr w:rsidR="000B4A37" w:rsidRPr="000B4A37" w14:paraId="336B4C34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FF886F" w14:textId="77777777" w:rsidR="000B4A37" w:rsidRPr="000B4A37" w:rsidRDefault="000B4A37" w:rsidP="00B61723">
            <w:r w:rsidRPr="000B4A37">
              <w:rPr>
                <w:b/>
                <w:bCs/>
              </w:rPr>
              <w:t>TULOC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21F971" w14:textId="77777777" w:rsidR="000B4A37" w:rsidRPr="000B4A37" w:rsidRDefault="000B4A37" w:rsidP="00B61723">
            <w:r w:rsidRPr="000B4A37">
              <w:t>Tumor location </w:t>
            </w:r>
          </w:p>
        </w:tc>
      </w:tr>
      <w:tr w:rsidR="000B4A37" w:rsidRPr="000B4A37" w14:paraId="487B67C8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572CCD" w14:textId="77777777" w:rsidR="000B4A37" w:rsidRPr="000B4A37" w:rsidRDefault="000B4A37" w:rsidP="00B61723">
            <w:r w:rsidRPr="000B4A37">
              <w:rPr>
                <w:b/>
                <w:bCs/>
              </w:rPr>
              <w:t>TRTESTCD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5E7A02" w14:textId="446ABEE5" w:rsidR="000B4A37" w:rsidRPr="000B4A37" w:rsidRDefault="000B4A37" w:rsidP="00B61723">
            <w:r w:rsidRPr="000B4A37">
              <w:rPr>
                <w:lang w:val="en-GB"/>
              </w:rPr>
              <w:t>Tumor status (what they checked)</w:t>
            </w:r>
            <w:r w:rsidR="00CF48CE">
              <w:rPr>
                <w:lang w:val="en-GB"/>
              </w:rPr>
              <w:t xml:space="preserve"> </w:t>
            </w:r>
            <w:r w:rsidR="00CF48CE" w:rsidRPr="000B4A37">
              <w:rPr>
                <w:lang w:val="en-GB"/>
              </w:rPr>
              <w:t>(LDIAM</w:t>
            </w:r>
            <w:r w:rsidR="00ED6A48">
              <w:rPr>
                <w:lang w:val="en-GB"/>
              </w:rPr>
              <w:t xml:space="preserve"> = </w:t>
            </w:r>
            <w:r w:rsidR="00ED6A48" w:rsidRPr="00ED6A48">
              <w:t>Longest Diameter</w:t>
            </w:r>
            <w:r w:rsidR="00CF48CE" w:rsidRPr="000B4A37">
              <w:rPr>
                <w:lang w:val="en-GB"/>
              </w:rPr>
              <w:t>,</w:t>
            </w:r>
            <w:r w:rsidR="00ED6A48">
              <w:rPr>
                <w:lang w:val="en-GB"/>
              </w:rPr>
              <w:t xml:space="preserve"> </w:t>
            </w:r>
            <w:r w:rsidR="00CF48CE">
              <w:rPr>
                <w:lang w:val="en-GB"/>
              </w:rPr>
              <w:t xml:space="preserve">SAXIS = shortest axis, </w:t>
            </w:r>
            <w:r w:rsidR="00CF48CE" w:rsidRPr="002F4219">
              <w:rPr>
                <w:lang w:val="en-GB"/>
              </w:rPr>
              <w:t xml:space="preserve">CTSLTHCK </w:t>
            </w:r>
            <w:r w:rsidR="00CF48CE">
              <w:rPr>
                <w:lang w:val="en-GB"/>
              </w:rPr>
              <w:t xml:space="preserve">= </w:t>
            </w:r>
            <w:r w:rsidR="00CF48CE" w:rsidRPr="007A7AC3">
              <w:t>Cut Slice Thickness</w:t>
            </w:r>
            <w:r w:rsidR="00CF48CE">
              <w:t xml:space="preserve">, </w:t>
            </w:r>
            <w:r w:rsidR="00CF48CE" w:rsidRPr="00851B40">
              <w:t>LESNPD</w:t>
            </w:r>
            <w:r w:rsidR="00CF48CE">
              <w:t xml:space="preserve"> = </w:t>
            </w:r>
            <w:r w:rsidR="00CF48CE" w:rsidRPr="00B72617">
              <w:t>Lesion Perpendicular Diameter</w:t>
            </w:r>
            <w:r w:rsidR="00CF48CE">
              <w:t xml:space="preserve">, TRALL = </w:t>
            </w:r>
            <w:r w:rsidR="00CF48CE" w:rsidRPr="00CD7DA0">
              <w:t>All Target Lesions</w:t>
            </w:r>
            <w:r w:rsidR="00CF48CE">
              <w:t>)</w:t>
            </w:r>
          </w:p>
        </w:tc>
      </w:tr>
      <w:tr w:rsidR="000B4A37" w:rsidRPr="000B4A37" w14:paraId="7F84B102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494151" w14:textId="77777777" w:rsidR="000B4A37" w:rsidRPr="000B4A37" w:rsidRDefault="000B4A37" w:rsidP="00B61723">
            <w:r w:rsidRPr="000B4A37">
              <w:rPr>
                <w:b/>
                <w:bCs/>
              </w:rPr>
              <w:t>TRORRES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5B9C37" w14:textId="5D0FE380" w:rsidR="000B4A37" w:rsidRPr="00851B40" w:rsidRDefault="000B4A37" w:rsidP="00B61723">
            <w:r w:rsidRPr="000B4A37">
              <w:rPr>
                <w:lang w:val="en-GB"/>
              </w:rPr>
              <w:t xml:space="preserve">Results of the check </w:t>
            </w:r>
            <w:r w:rsidR="00CF48CE">
              <w:rPr>
                <w:lang w:val="en-GB"/>
              </w:rPr>
              <w:t xml:space="preserve">in mm </w:t>
            </w:r>
            <w:r w:rsidR="00CF48CE" w:rsidRPr="000B4A37">
              <w:rPr>
                <w:lang w:val="en-GB"/>
              </w:rPr>
              <w:t>(if TRTESTCD=LDIAM, then it is the longest diameter</w:t>
            </w:r>
            <w:r w:rsidR="00CF48CE">
              <w:rPr>
                <w:lang w:val="en-GB"/>
              </w:rPr>
              <w:t>)</w:t>
            </w:r>
          </w:p>
        </w:tc>
      </w:tr>
      <w:tr w:rsidR="000B4A37" w:rsidRPr="000B4A37" w14:paraId="0F075BAE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87A16D" w14:textId="77777777" w:rsidR="000B4A37" w:rsidRPr="000B4A37" w:rsidRDefault="000B4A37" w:rsidP="00B61723">
            <w:r w:rsidRPr="000B4A37">
              <w:rPr>
                <w:b/>
                <w:bCs/>
              </w:rPr>
              <w:t>TRT01A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488447" w14:textId="4177F527" w:rsidR="000B4A37" w:rsidRPr="000B4A37" w:rsidRDefault="000B4A37" w:rsidP="00B61723">
            <w:r w:rsidRPr="000B4A37">
              <w:t>Study arm</w:t>
            </w:r>
            <w:r w:rsidR="005D29B5">
              <w:t xml:space="preserve"> (C</w:t>
            </w:r>
            <w:r w:rsidR="005D29B5" w:rsidRPr="005D29B5">
              <w:t>orrespond</w:t>
            </w:r>
            <w:r w:rsidR="005D29B5">
              <w:t>s</w:t>
            </w:r>
            <w:r w:rsidR="005D29B5" w:rsidRPr="005D29B5">
              <w:t xml:space="preserve"> to different treatments such as </w:t>
            </w:r>
            <w:r w:rsidR="005D29B5" w:rsidRPr="005D29B5">
              <w:rPr>
                <w:b/>
                <w:bCs/>
              </w:rPr>
              <w:t>Atezolizumab</w:t>
            </w:r>
            <w:r w:rsidR="005D29B5" w:rsidRPr="005D29B5">
              <w:t> and </w:t>
            </w:r>
            <w:r w:rsidR="005D29B5" w:rsidRPr="005D29B5">
              <w:rPr>
                <w:b/>
                <w:bCs/>
              </w:rPr>
              <w:t>Docetaxel</w:t>
            </w:r>
            <w:r w:rsidR="005D29B5" w:rsidRPr="005D29B5">
              <w:t xml:space="preserve">, with each arm including </w:t>
            </w:r>
            <w:r w:rsidR="005D29B5" w:rsidRPr="005D29B5">
              <w:lastRenderedPageBreak/>
              <w:t>patients who are monitored for tumor response under those specific treatment protocols.</w:t>
            </w:r>
            <w:r w:rsidR="005D29B5">
              <w:t>)</w:t>
            </w:r>
          </w:p>
        </w:tc>
      </w:tr>
    </w:tbl>
    <w:p w14:paraId="35AC9ED5" w14:textId="77777777" w:rsidR="00804E3B" w:rsidRDefault="00804E3B"/>
    <w:p w14:paraId="4188A1D8" w14:textId="77777777" w:rsidR="00E92330" w:rsidRPr="000B10B5" w:rsidRDefault="00804E3B">
      <w:pPr>
        <w:rPr>
          <w:b/>
          <w:bCs/>
        </w:rPr>
      </w:pPr>
      <w:r w:rsidRPr="000B10B5">
        <w:rPr>
          <w:b/>
          <w:bCs/>
        </w:rPr>
        <w:t>Where is this data from?</w:t>
      </w:r>
    </w:p>
    <w:p w14:paraId="2044A88A" w14:textId="16888792" w:rsidR="00E92330" w:rsidRDefault="00E92330">
      <w:r w:rsidRPr="00E92330">
        <w:t>The data comes from </w:t>
      </w:r>
      <w:r w:rsidRPr="00E92330">
        <w:rPr>
          <w:b/>
          <w:bCs/>
        </w:rPr>
        <w:t>five large clinical trials</w:t>
      </w:r>
      <w:r w:rsidRPr="00E92330">
        <w:t> involving cancer patients treated with chemotherapy or immunotherapy, specifically focused on the drug </w:t>
      </w:r>
      <w:r w:rsidRPr="00E92330">
        <w:rPr>
          <w:b/>
          <w:bCs/>
        </w:rPr>
        <w:t>Atezolizumab</w:t>
      </w:r>
      <w:r w:rsidRPr="00E92330">
        <w:t> (an immune checkpoint inhibitor). These trials involved patients with </w:t>
      </w:r>
      <w:r w:rsidRPr="00E92330">
        <w:rPr>
          <w:b/>
          <w:bCs/>
        </w:rPr>
        <w:t>Non-Small Cell Lung Cancer (NSCLC)</w:t>
      </w:r>
      <w:r w:rsidRPr="00E92330">
        <w:t> and </w:t>
      </w:r>
      <w:r w:rsidRPr="00E92330">
        <w:rPr>
          <w:b/>
          <w:bCs/>
        </w:rPr>
        <w:t xml:space="preserve">bladder </w:t>
      </w:r>
      <w:r w:rsidR="006A6F2E" w:rsidRPr="00E92330">
        <w:rPr>
          <w:b/>
          <w:bCs/>
        </w:rPr>
        <w:t>cancer</w:t>
      </w:r>
      <w:r w:rsidR="006A6F2E" w:rsidRPr="00E92330">
        <w:t xml:space="preserve"> and</w:t>
      </w:r>
      <w:r w:rsidRPr="00E92330">
        <w:t xml:space="preserve"> were aimed at evaluating the efficacy and safety of the treatment. The data includes tumor volume measurements for target lesions in these patients over time.</w:t>
      </w:r>
    </w:p>
    <w:p w14:paraId="303D5327" w14:textId="77777777" w:rsidR="000B4A37" w:rsidRDefault="000B4A37"/>
    <w:p w14:paraId="478657DE" w14:textId="6C007E41" w:rsidR="000B4A37" w:rsidRPr="000B4A37" w:rsidRDefault="000B4A37">
      <w:pPr>
        <w:rPr>
          <w:b/>
          <w:bCs/>
        </w:rPr>
      </w:pPr>
      <w:r w:rsidRPr="000B4A37">
        <w:rPr>
          <w:b/>
          <w:bCs/>
        </w:rPr>
        <w:t>Reference:</w:t>
      </w:r>
    </w:p>
    <w:p w14:paraId="7CA3C927" w14:textId="75E50A23" w:rsidR="000B4A37" w:rsidRPr="000B4A37" w:rsidRDefault="000B4A37">
      <w:r>
        <w:t xml:space="preserve">[1] </w:t>
      </w:r>
      <w:r w:rsidRPr="000B4A37">
        <w:t xml:space="preserve">Ghaffari Laleh N, Loeffler CML, Grajek J, Staňková K, Pearson AT, Muti HS, et al. (2022) Classical mathematical models for prediction of response to chemotherapy and immunotherapy. </w:t>
      </w:r>
      <w:proofErr w:type="spellStart"/>
      <w:r w:rsidRPr="000B4A37">
        <w:t>PLoS</w:t>
      </w:r>
      <w:proofErr w:type="spellEnd"/>
      <w:r w:rsidRPr="000B4A37">
        <w:t xml:space="preserve"> </w:t>
      </w:r>
      <w:proofErr w:type="spellStart"/>
      <w:r w:rsidRPr="000B4A37">
        <w:t>Comput</w:t>
      </w:r>
      <w:proofErr w:type="spellEnd"/>
      <w:r w:rsidRPr="000B4A37">
        <w:t xml:space="preserve"> Biol 18(2): e1009822.</w:t>
      </w:r>
    </w:p>
    <w:sectPr w:rsidR="000B4A37" w:rsidRPr="000B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15CF"/>
    <w:multiLevelType w:val="multilevel"/>
    <w:tmpl w:val="9E2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42927"/>
    <w:multiLevelType w:val="multilevel"/>
    <w:tmpl w:val="012C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696580">
    <w:abstractNumId w:val="0"/>
  </w:num>
  <w:num w:numId="2" w16cid:durableId="1933930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37"/>
    <w:rsid w:val="000B10B5"/>
    <w:rsid w:val="000B4A37"/>
    <w:rsid w:val="0015299F"/>
    <w:rsid w:val="001A13D8"/>
    <w:rsid w:val="00242414"/>
    <w:rsid w:val="002538C3"/>
    <w:rsid w:val="00286684"/>
    <w:rsid w:val="002C6378"/>
    <w:rsid w:val="002F4219"/>
    <w:rsid w:val="003E5B97"/>
    <w:rsid w:val="00404E85"/>
    <w:rsid w:val="00452E5F"/>
    <w:rsid w:val="00460335"/>
    <w:rsid w:val="00491098"/>
    <w:rsid w:val="00565149"/>
    <w:rsid w:val="005D29B5"/>
    <w:rsid w:val="005F69D7"/>
    <w:rsid w:val="006A6F2E"/>
    <w:rsid w:val="006D01BD"/>
    <w:rsid w:val="006E0FAE"/>
    <w:rsid w:val="00706358"/>
    <w:rsid w:val="00712C7C"/>
    <w:rsid w:val="007A7AC3"/>
    <w:rsid w:val="00804E3B"/>
    <w:rsid w:val="00811567"/>
    <w:rsid w:val="00814DA1"/>
    <w:rsid w:val="0083428A"/>
    <w:rsid w:val="00851B40"/>
    <w:rsid w:val="00863511"/>
    <w:rsid w:val="008B3610"/>
    <w:rsid w:val="008D29D2"/>
    <w:rsid w:val="009163FD"/>
    <w:rsid w:val="009542B7"/>
    <w:rsid w:val="00984D61"/>
    <w:rsid w:val="00992FBD"/>
    <w:rsid w:val="009E1049"/>
    <w:rsid w:val="00A1331E"/>
    <w:rsid w:val="00A4119A"/>
    <w:rsid w:val="00A543BE"/>
    <w:rsid w:val="00A96096"/>
    <w:rsid w:val="00B30700"/>
    <w:rsid w:val="00B41A41"/>
    <w:rsid w:val="00B72617"/>
    <w:rsid w:val="00B77A2F"/>
    <w:rsid w:val="00BA5DEE"/>
    <w:rsid w:val="00C07884"/>
    <w:rsid w:val="00CA2E8E"/>
    <w:rsid w:val="00CD7DA0"/>
    <w:rsid w:val="00CF0A4D"/>
    <w:rsid w:val="00CF48CE"/>
    <w:rsid w:val="00D11625"/>
    <w:rsid w:val="00DA0A88"/>
    <w:rsid w:val="00DD49BD"/>
    <w:rsid w:val="00E31614"/>
    <w:rsid w:val="00E92330"/>
    <w:rsid w:val="00ED6A48"/>
    <w:rsid w:val="00F633CD"/>
    <w:rsid w:val="00F729B8"/>
    <w:rsid w:val="00F76089"/>
    <w:rsid w:val="00F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9418"/>
  <w15:chartTrackingRefBased/>
  <w15:docId w15:val="{E7C3FC05-1A39-6A48-A8D9-3CCA44DC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A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trials.gov/study/NCT020082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trials.gov/study/NCT020314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nicaltrials.gov/study/NCT019039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inicaltrials.gov/study/NCT018464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nicaltrials.gov/study/NCT029517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Sepinoud Azimi Rashti</dc:creator>
  <cp:keywords/>
  <dc:description/>
  <cp:lastModifiedBy>Laura Jansen-Storbacka</cp:lastModifiedBy>
  <cp:revision>2</cp:revision>
  <dcterms:created xsi:type="dcterms:W3CDTF">2025-01-16T11:30:00Z</dcterms:created>
  <dcterms:modified xsi:type="dcterms:W3CDTF">2025-01-16T11:30:00Z</dcterms:modified>
</cp:coreProperties>
</file>