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27688" w:rsidRDefault="003F0ADA">
      <w:pPr>
        <w:pStyle w:val="Ttulo1"/>
        <w:keepNext w:val="0"/>
        <w:keepLines w:val="0"/>
        <w:shd w:val="clear" w:color="auto" w:fill="FFFFFF"/>
        <w:spacing w:before="480"/>
        <w:rPr>
          <w:b/>
          <w:bCs/>
          <w:sz w:val="24"/>
          <w:szCs w:val="24"/>
        </w:rPr>
      </w:pPr>
      <w:bookmarkStart w:id="0" w:name="_of51qn5hgkn5" w:colFirst="0" w:colLast="0"/>
      <w:bookmarkEnd w:id="0"/>
      <w:r>
        <w:rPr>
          <w:b/>
          <w:bCs/>
          <w:sz w:val="24"/>
          <w:szCs w:val="24"/>
        </w:rPr>
        <w:t xml:space="preserve">Resumen ejecutivo </w:t>
      </w:r>
    </w:p>
    <w:p w14:paraId="00000002" w14:textId="77777777" w:rsidR="00927688" w:rsidRDefault="003F0ADA">
      <w:pPr>
        <w:pStyle w:val="Ttulo1"/>
        <w:keepNext w:val="0"/>
        <w:keepLines w:val="0"/>
        <w:shd w:val="clear" w:color="auto" w:fill="FFFFFF"/>
        <w:spacing w:before="480"/>
        <w:rPr>
          <w:b/>
          <w:bCs/>
          <w:sz w:val="24"/>
          <w:szCs w:val="24"/>
          <w:highlight w:val="white"/>
        </w:rPr>
      </w:pPr>
      <w:bookmarkStart w:id="1" w:name="_lli4zdtanqjj" w:colFirst="0" w:colLast="0"/>
      <w:bookmarkEnd w:id="1"/>
      <w:r>
        <w:rPr>
          <w:b/>
          <w:bCs/>
          <w:sz w:val="24"/>
          <w:szCs w:val="24"/>
          <w:highlight w:val="white"/>
        </w:rPr>
        <w:t>Contexto &amp; objetivo:</w:t>
      </w:r>
    </w:p>
    <w:p w14:paraId="00000003" w14:textId="77777777" w:rsidR="00927688" w:rsidRDefault="003F0ADA">
      <w:pPr>
        <w:spacing w:before="220" w:after="220"/>
        <w:rPr>
          <w:b/>
          <w:bCs/>
          <w:sz w:val="24"/>
          <w:szCs w:val="24"/>
          <w:highlight w:val="white"/>
        </w:rPr>
      </w:pPr>
      <w:r>
        <w:rPr>
          <w:b/>
          <w:bCs/>
          <w:sz w:val="24"/>
          <w:szCs w:val="24"/>
          <w:highlight w:val="white"/>
        </w:rPr>
        <w:t>Relación existente  entre la movilidad urbana (congestión, tiempos de viaje) y la productividad económica (PIB per cápita)</w:t>
      </w:r>
    </w:p>
    <w:p w14:paraId="00000004" w14:textId="77777777" w:rsidR="00927688" w:rsidRDefault="003F0ADA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No existe una relación lineal o evidente entre PIB per cápita y congestión vial. No es cierto que más PIB = más congestión, ni tampoc</w:t>
      </w:r>
      <w:r>
        <w:rPr>
          <w:sz w:val="24"/>
          <w:szCs w:val="24"/>
        </w:rPr>
        <w:t>o que menos PIB = más congestión.</w:t>
      </w:r>
    </w:p>
    <w:p w14:paraId="00000005" w14:textId="77777777" w:rsidR="00927688" w:rsidRDefault="003F0ADA">
      <w:pPr>
        <w:spacing w:before="220" w:after="220"/>
        <w:rPr>
          <w:b/>
          <w:bCs/>
          <w:sz w:val="24"/>
          <w:szCs w:val="24"/>
          <w:highlight w:val="white"/>
        </w:rPr>
      </w:pPr>
      <w:r>
        <w:rPr>
          <w:b/>
          <w:bCs/>
          <w:sz w:val="24"/>
          <w:szCs w:val="24"/>
          <w:highlight w:val="white"/>
        </w:rPr>
        <w:t>Variables clave utilizadas y su relevancia para la toma de decisiones:</w:t>
      </w:r>
    </w:p>
    <w:p w14:paraId="00000006" w14:textId="77777777" w:rsidR="00927688" w:rsidRDefault="003F0ADA">
      <w:pPr>
        <w:spacing w:before="220" w:after="220"/>
        <w:rPr>
          <w:b/>
          <w:bCs/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Para el análisis se utilizaron varias variables intermedias que permitieron estructurar, filtrar y combinar la información de manera coherente para res</w:t>
      </w:r>
      <w:r>
        <w:rPr>
          <w:sz w:val="24"/>
          <w:szCs w:val="24"/>
          <w:highlight w:val="white"/>
        </w:rPr>
        <w:t>ponder a la pregunta central del proyecto: ¿cómo se relacionan las condiciones económicas de una ciudad con sus niveles de congestión y movilidad?</w:t>
      </w:r>
    </w:p>
    <w:p w14:paraId="00000007" w14:textId="77777777" w:rsidR="00927688" w:rsidRDefault="003F0ADA">
      <w:pPr>
        <w:spacing w:before="220" w:after="220"/>
        <w:rPr>
          <w:b/>
          <w:bCs/>
          <w:sz w:val="24"/>
          <w:szCs w:val="24"/>
          <w:highlight w:val="white"/>
        </w:rPr>
      </w:pPr>
      <w:r>
        <w:rPr>
          <w:b/>
          <w:bCs/>
          <w:sz w:val="24"/>
          <w:szCs w:val="24"/>
          <w:highlight w:val="white"/>
        </w:rPr>
        <w:t xml:space="preserve">1. </w:t>
      </w:r>
      <w:proofErr w:type="spellStart"/>
      <w:r>
        <w:rPr>
          <w:b/>
          <w:bCs/>
          <w:sz w:val="24"/>
          <w:szCs w:val="24"/>
          <w:highlight w:val="white"/>
        </w:rPr>
        <w:t>traffic</w:t>
      </w:r>
      <w:proofErr w:type="spellEnd"/>
      <w:r>
        <w:rPr>
          <w:b/>
          <w:bCs/>
          <w:sz w:val="24"/>
          <w:szCs w:val="24"/>
          <w:highlight w:val="white"/>
        </w:rPr>
        <w:t xml:space="preserve"> y eco:</w:t>
      </w:r>
    </w:p>
    <w:p w14:paraId="00000008" w14:textId="77777777" w:rsidR="00927688" w:rsidRDefault="003F0ADA">
      <w:pPr>
        <w:spacing w:before="220" w:after="220"/>
        <w:rPr>
          <w:b/>
          <w:bCs/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Corresponden a los </w:t>
      </w:r>
      <w:proofErr w:type="spellStart"/>
      <w:r>
        <w:rPr>
          <w:sz w:val="24"/>
          <w:szCs w:val="24"/>
          <w:highlight w:val="white"/>
        </w:rPr>
        <w:t>dataframes</w:t>
      </w:r>
      <w:proofErr w:type="spellEnd"/>
      <w:r>
        <w:rPr>
          <w:sz w:val="24"/>
          <w:szCs w:val="24"/>
          <w:highlight w:val="white"/>
        </w:rPr>
        <w:t xml:space="preserve"> base, que contienen la información cruda de tráfico y datos e</w:t>
      </w:r>
      <w:r>
        <w:rPr>
          <w:sz w:val="24"/>
          <w:szCs w:val="24"/>
          <w:highlight w:val="white"/>
        </w:rPr>
        <w:t>conómicos por ciudad. Su relevancia radica en que representan el punto de partida del análisis, proporcionando las métricas esenciales para evaluar movilidad (demoras, congestión, tiempos de viaje) y el contexto económico (PIB per cápita).</w:t>
      </w:r>
    </w:p>
    <w:p w14:paraId="00000009" w14:textId="77777777" w:rsidR="00927688" w:rsidRDefault="003F0ADA">
      <w:pPr>
        <w:spacing w:before="220" w:after="220"/>
        <w:rPr>
          <w:b/>
          <w:bCs/>
          <w:sz w:val="24"/>
          <w:szCs w:val="24"/>
          <w:highlight w:val="white"/>
        </w:rPr>
      </w:pPr>
      <w:r>
        <w:rPr>
          <w:b/>
          <w:bCs/>
          <w:sz w:val="24"/>
          <w:szCs w:val="24"/>
          <w:highlight w:val="white"/>
        </w:rPr>
        <w:t xml:space="preserve">2. traffic_2024 </w:t>
      </w:r>
      <w:r>
        <w:rPr>
          <w:b/>
          <w:bCs/>
          <w:sz w:val="24"/>
          <w:szCs w:val="24"/>
          <w:highlight w:val="white"/>
        </w:rPr>
        <w:t>y eco_2024:</w:t>
      </w:r>
    </w:p>
    <w:p w14:paraId="0000000A" w14:textId="77777777" w:rsidR="00927688" w:rsidRDefault="003F0ADA">
      <w:pPr>
        <w:spacing w:before="220" w:after="220"/>
        <w:rPr>
          <w:b/>
          <w:bCs/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Son las versiones filtradas de las bases originales, conservando únicamente los registros del año 2024.Esto permitió enfocar el análisis en un periodo uniforme y actualizado, garantizando comparabilidad temporal y evitando sesgos derivados de t</w:t>
      </w:r>
      <w:r>
        <w:rPr>
          <w:sz w:val="24"/>
          <w:szCs w:val="24"/>
          <w:highlight w:val="white"/>
        </w:rPr>
        <w:t>endencias históricas o diferencias interanuales.</w:t>
      </w:r>
    </w:p>
    <w:p w14:paraId="0000000B" w14:textId="77777777" w:rsidR="00927688" w:rsidRDefault="003F0ADA">
      <w:pPr>
        <w:spacing w:before="220" w:after="220"/>
        <w:rPr>
          <w:b/>
          <w:bCs/>
          <w:sz w:val="24"/>
          <w:szCs w:val="24"/>
          <w:highlight w:val="white"/>
        </w:rPr>
      </w:pPr>
      <w:r>
        <w:rPr>
          <w:b/>
          <w:bCs/>
          <w:sz w:val="24"/>
          <w:szCs w:val="24"/>
          <w:highlight w:val="white"/>
        </w:rPr>
        <w:t>3. traffic_city_year_2024</w:t>
      </w:r>
    </w:p>
    <w:p w14:paraId="0000000C" w14:textId="77777777" w:rsidR="00927688" w:rsidRDefault="003F0ADA">
      <w:pPr>
        <w:spacing w:before="220" w:after="220"/>
        <w:rPr>
          <w:b/>
          <w:bCs/>
          <w:sz w:val="24"/>
          <w:szCs w:val="24"/>
          <w:highlight w:val="white"/>
        </w:rPr>
      </w:pPr>
      <w:proofErr w:type="spellStart"/>
      <w:r>
        <w:rPr>
          <w:sz w:val="24"/>
          <w:szCs w:val="24"/>
          <w:highlight w:val="white"/>
        </w:rPr>
        <w:t>Dataframe</w:t>
      </w:r>
      <w:proofErr w:type="spellEnd"/>
      <w:r>
        <w:rPr>
          <w:sz w:val="24"/>
          <w:szCs w:val="24"/>
          <w:highlight w:val="white"/>
        </w:rPr>
        <w:t xml:space="preserve"> consolidado que agrupa los datos de tráfico por ciudad y año, calculando promedios de las métricas más relevantes (demoras, longitud de congestión, índices de tráfico, etc</w:t>
      </w:r>
      <w:r>
        <w:rPr>
          <w:sz w:val="24"/>
          <w:szCs w:val="24"/>
          <w:highlight w:val="white"/>
        </w:rPr>
        <w:t>.).Su importancia radica en que genera una vista agregada y estable, útil para identificar patrones estructurales de congestión sin depender de variaciones diarias o eventos atípicos.</w:t>
      </w:r>
    </w:p>
    <w:p w14:paraId="0000000D" w14:textId="77777777" w:rsidR="00927688" w:rsidRDefault="003F0ADA">
      <w:pPr>
        <w:spacing w:before="220" w:after="220"/>
        <w:rPr>
          <w:b/>
          <w:bCs/>
          <w:sz w:val="24"/>
          <w:szCs w:val="24"/>
          <w:highlight w:val="white"/>
        </w:rPr>
      </w:pPr>
      <w:r>
        <w:rPr>
          <w:b/>
          <w:bCs/>
          <w:sz w:val="24"/>
          <w:szCs w:val="24"/>
          <w:highlight w:val="white"/>
        </w:rPr>
        <w:t xml:space="preserve">4. </w:t>
      </w:r>
      <w:proofErr w:type="spellStart"/>
      <w:r>
        <w:rPr>
          <w:b/>
          <w:bCs/>
          <w:sz w:val="24"/>
          <w:szCs w:val="24"/>
          <w:highlight w:val="white"/>
        </w:rPr>
        <w:t>left_cols</w:t>
      </w:r>
      <w:proofErr w:type="spellEnd"/>
      <w:r>
        <w:rPr>
          <w:b/>
          <w:bCs/>
          <w:sz w:val="24"/>
          <w:szCs w:val="24"/>
          <w:highlight w:val="white"/>
        </w:rPr>
        <w:t xml:space="preserve"> y </w:t>
      </w:r>
      <w:proofErr w:type="spellStart"/>
      <w:r>
        <w:rPr>
          <w:b/>
          <w:bCs/>
          <w:sz w:val="24"/>
          <w:szCs w:val="24"/>
          <w:highlight w:val="white"/>
        </w:rPr>
        <w:t>right_cols</w:t>
      </w:r>
      <w:proofErr w:type="spellEnd"/>
    </w:p>
    <w:p w14:paraId="0000000E" w14:textId="77777777" w:rsidR="00927688" w:rsidRDefault="003F0ADA">
      <w:pPr>
        <w:spacing w:before="220" w:after="220"/>
        <w:rPr>
          <w:b/>
          <w:bCs/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Listas auxiliares utilizadas para estandarizar</w:t>
      </w:r>
      <w:r>
        <w:rPr>
          <w:sz w:val="24"/>
          <w:szCs w:val="24"/>
          <w:highlight w:val="white"/>
        </w:rPr>
        <w:t xml:space="preserve"> y seleccionar las columnas clave al momento de realizar la fusión entre ambos dominios de </w:t>
      </w:r>
      <w:proofErr w:type="spellStart"/>
      <w:r>
        <w:rPr>
          <w:sz w:val="24"/>
          <w:szCs w:val="24"/>
          <w:highlight w:val="white"/>
        </w:rPr>
        <w:t>datos.Son</w:t>
      </w:r>
      <w:proofErr w:type="spellEnd"/>
      <w:r>
        <w:rPr>
          <w:sz w:val="24"/>
          <w:szCs w:val="24"/>
          <w:highlight w:val="white"/>
        </w:rPr>
        <w:t xml:space="preserve"> relevantes porque garantizan que el proceso de combinación sea consistente, ordenado y reproducible, evitando errores de emparejamiento o duplicación.</w:t>
      </w:r>
    </w:p>
    <w:p w14:paraId="0000000F" w14:textId="77777777" w:rsidR="00927688" w:rsidRDefault="003F0ADA">
      <w:pPr>
        <w:spacing w:before="220" w:after="220"/>
        <w:rPr>
          <w:b/>
          <w:bCs/>
          <w:sz w:val="24"/>
          <w:szCs w:val="24"/>
          <w:highlight w:val="white"/>
        </w:rPr>
      </w:pPr>
      <w:r>
        <w:rPr>
          <w:b/>
          <w:bCs/>
          <w:sz w:val="24"/>
          <w:szCs w:val="24"/>
          <w:highlight w:val="white"/>
        </w:rPr>
        <w:lastRenderedPageBreak/>
        <w:t xml:space="preserve">5. </w:t>
      </w:r>
      <w:proofErr w:type="spellStart"/>
      <w:r>
        <w:rPr>
          <w:b/>
          <w:bCs/>
          <w:sz w:val="24"/>
          <w:szCs w:val="24"/>
          <w:highlight w:val="white"/>
        </w:rPr>
        <w:t>m</w:t>
      </w:r>
      <w:r>
        <w:rPr>
          <w:b/>
          <w:bCs/>
          <w:sz w:val="24"/>
          <w:szCs w:val="24"/>
          <w:highlight w:val="white"/>
        </w:rPr>
        <w:t>erged</w:t>
      </w:r>
      <w:proofErr w:type="spellEnd"/>
    </w:p>
    <w:p w14:paraId="00000010" w14:textId="77777777" w:rsidR="00927688" w:rsidRDefault="003F0ADA">
      <w:pPr>
        <w:spacing w:before="220" w:after="220"/>
        <w:rPr>
          <w:sz w:val="24"/>
          <w:szCs w:val="24"/>
          <w:highlight w:val="white"/>
        </w:rPr>
      </w:pPr>
      <w:proofErr w:type="spellStart"/>
      <w:r>
        <w:rPr>
          <w:sz w:val="24"/>
          <w:szCs w:val="24"/>
          <w:highlight w:val="white"/>
        </w:rPr>
        <w:t>Dataframe</w:t>
      </w:r>
      <w:proofErr w:type="spellEnd"/>
      <w:r>
        <w:rPr>
          <w:sz w:val="24"/>
          <w:szCs w:val="24"/>
          <w:highlight w:val="white"/>
        </w:rPr>
        <w:t xml:space="preserve"> final del proyecto, resultado de integrar los datos de tráfico y de economía en una única estructura </w:t>
      </w:r>
      <w:proofErr w:type="spellStart"/>
      <w:r>
        <w:rPr>
          <w:sz w:val="24"/>
          <w:szCs w:val="24"/>
          <w:highlight w:val="white"/>
        </w:rPr>
        <w:t>analítica.Esta</w:t>
      </w:r>
      <w:proofErr w:type="spellEnd"/>
      <w:r>
        <w:rPr>
          <w:sz w:val="24"/>
          <w:szCs w:val="24"/>
          <w:highlight w:val="white"/>
        </w:rPr>
        <w:t xml:space="preserve"> variable permite evaluar directamente la relación entre las condiciones económicas de una ciudad y su nivel de congestión, h</w:t>
      </w:r>
      <w:r>
        <w:rPr>
          <w:sz w:val="24"/>
          <w:szCs w:val="24"/>
          <w:highlight w:val="white"/>
        </w:rPr>
        <w:t xml:space="preserve">abilitando análisis comparativos y la generación de </w:t>
      </w:r>
      <w:proofErr w:type="spellStart"/>
      <w:r>
        <w:rPr>
          <w:sz w:val="24"/>
          <w:szCs w:val="24"/>
          <w:highlight w:val="white"/>
        </w:rPr>
        <w:t>insights</w:t>
      </w:r>
      <w:proofErr w:type="spellEnd"/>
      <w:r>
        <w:rPr>
          <w:sz w:val="24"/>
          <w:szCs w:val="24"/>
          <w:highlight w:val="white"/>
        </w:rPr>
        <w:t xml:space="preserve"> para la toma de decisiones en movilidad urbana, desarrollo económico y planificación territorial.</w:t>
      </w:r>
    </w:p>
    <w:p w14:paraId="00000011" w14:textId="77777777" w:rsidR="00927688" w:rsidRDefault="003F0ADA">
      <w:pPr>
        <w:spacing w:after="2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white"/>
        </w:rPr>
        <w:t>Cobertura de datos: años analizados, número de ciudades y países incluidos:</w:t>
      </w:r>
    </w:p>
    <w:p w14:paraId="00000012" w14:textId="77777777" w:rsidR="00927688" w:rsidRDefault="003F0ADA">
      <w:pPr>
        <w:rPr>
          <w:sz w:val="24"/>
          <w:szCs w:val="24"/>
        </w:rPr>
      </w:pPr>
      <w:r>
        <w:rPr>
          <w:sz w:val="24"/>
          <w:szCs w:val="24"/>
        </w:rPr>
        <w:t>Para este proyecto se</w:t>
      </w:r>
      <w:r>
        <w:rPr>
          <w:sz w:val="24"/>
          <w:szCs w:val="24"/>
        </w:rPr>
        <w:t xml:space="preserve"> analizó exclusivamente la información correspondiente al año 2024. El conjunto de datos incluyó un total de 15 ciudades pertenecientes a 7 países de la región de Sudamérica, lo que permitió obtener una visión representativa y comparativa del comportamient</w:t>
      </w:r>
      <w:r>
        <w:rPr>
          <w:sz w:val="24"/>
          <w:szCs w:val="24"/>
        </w:rPr>
        <w:t>o del tráfico y las condiciones económicas en el territorio analizado.</w:t>
      </w:r>
    </w:p>
    <w:p w14:paraId="00000013" w14:textId="77777777" w:rsidR="00927688" w:rsidRDefault="00927688">
      <w:pPr>
        <w:rPr>
          <w:sz w:val="24"/>
          <w:szCs w:val="24"/>
        </w:rPr>
      </w:pPr>
    </w:p>
    <w:p w14:paraId="00000014" w14:textId="77777777" w:rsidR="00927688" w:rsidRDefault="003F0ADA">
      <w:pPr>
        <w:rPr>
          <w:b/>
          <w:bCs/>
          <w:sz w:val="24"/>
          <w:szCs w:val="24"/>
          <w:highlight w:val="white"/>
        </w:rPr>
      </w:pPr>
      <w:r>
        <w:rPr>
          <w:b/>
          <w:bCs/>
          <w:sz w:val="24"/>
          <w:szCs w:val="24"/>
          <w:highlight w:val="white"/>
        </w:rPr>
        <w:t xml:space="preserve">Metodología: </w:t>
      </w:r>
    </w:p>
    <w:p w14:paraId="00000015" w14:textId="77777777" w:rsidR="00927688" w:rsidRDefault="003F0ADA">
      <w:pPr>
        <w:rPr>
          <w:b/>
          <w:bCs/>
          <w:sz w:val="24"/>
          <w:szCs w:val="24"/>
          <w:highlight w:val="white"/>
        </w:rPr>
      </w:pPr>
      <w:r>
        <w:rPr>
          <w:b/>
          <w:bCs/>
          <w:sz w:val="24"/>
          <w:szCs w:val="24"/>
          <w:highlight w:val="white"/>
        </w:rPr>
        <w:t>Procesos principales: limpieza de datos (formatos, estandarización de columnas).</w:t>
      </w:r>
    </w:p>
    <w:p w14:paraId="00000016" w14:textId="77777777" w:rsidR="00927688" w:rsidRDefault="003F0ADA">
      <w:pPr>
        <w:rPr>
          <w:b/>
          <w:bCs/>
          <w:color w:val="000000"/>
          <w:sz w:val="24"/>
          <w:szCs w:val="24"/>
          <w:highlight w:val="white"/>
        </w:rPr>
      </w:pPr>
      <w:r>
        <w:rPr>
          <w:b/>
          <w:bCs/>
          <w:color w:val="000000"/>
          <w:sz w:val="24"/>
          <w:szCs w:val="24"/>
          <w:highlight w:val="white"/>
        </w:rPr>
        <w:t xml:space="preserve"> </w:t>
      </w:r>
    </w:p>
    <w:p w14:paraId="00000017" w14:textId="77777777" w:rsidR="00927688" w:rsidRDefault="003F0ADA">
      <w:pPr>
        <w:rPr>
          <w:color w:val="000000"/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Durante la preparación de los </w:t>
      </w:r>
      <w:proofErr w:type="spellStart"/>
      <w:r>
        <w:rPr>
          <w:sz w:val="24"/>
          <w:szCs w:val="24"/>
          <w:highlight w:val="white"/>
        </w:rPr>
        <w:t>datasets</w:t>
      </w:r>
      <w:proofErr w:type="spellEnd"/>
      <w:r>
        <w:rPr>
          <w:sz w:val="24"/>
          <w:szCs w:val="24"/>
          <w:highlight w:val="white"/>
        </w:rPr>
        <w:t xml:space="preserve"> se realizaron ajustes clave de </w:t>
      </w:r>
      <w:r>
        <w:rPr>
          <w:b/>
          <w:bCs/>
          <w:sz w:val="24"/>
          <w:szCs w:val="24"/>
          <w:highlight w:val="white"/>
        </w:rPr>
        <w:t>formato</w:t>
      </w:r>
      <w:r>
        <w:rPr>
          <w:sz w:val="24"/>
          <w:szCs w:val="24"/>
          <w:highlight w:val="white"/>
        </w:rPr>
        <w:t xml:space="preserve"> para gara</w:t>
      </w:r>
      <w:r>
        <w:rPr>
          <w:sz w:val="24"/>
          <w:szCs w:val="24"/>
          <w:highlight w:val="white"/>
        </w:rPr>
        <w:t>ntizar la consistencia y permitir un análisis confiable: conversión</w:t>
      </w:r>
      <w:r>
        <w:rPr>
          <w:color w:val="000000"/>
          <w:sz w:val="24"/>
          <w:szCs w:val="24"/>
          <w:highlight w:val="white"/>
        </w:rPr>
        <w:t xml:space="preserve"> de formato de </w:t>
      </w:r>
      <w:r>
        <w:rPr>
          <w:sz w:val="24"/>
          <w:szCs w:val="24"/>
          <w:highlight w:val="white"/>
        </w:rPr>
        <w:t>fechas.</w:t>
      </w:r>
    </w:p>
    <w:p w14:paraId="00000018" w14:textId="77777777" w:rsidR="00927688" w:rsidRDefault="003F0ADA">
      <w:pPr>
        <w:spacing w:before="240" w:after="240"/>
        <w:rPr>
          <w:sz w:val="24"/>
          <w:szCs w:val="24"/>
          <w:highlight w:val="white"/>
        </w:rPr>
      </w:pPr>
      <w:r>
        <w:rPr>
          <w:b/>
          <w:bCs/>
          <w:sz w:val="24"/>
          <w:szCs w:val="24"/>
          <w:highlight w:val="white"/>
        </w:rPr>
        <w:t>-</w:t>
      </w:r>
      <w:r>
        <w:rPr>
          <w:sz w:val="24"/>
          <w:szCs w:val="24"/>
          <w:highlight w:val="white"/>
        </w:rPr>
        <w:t>Las columnas de fechas venían en formato texto.</w:t>
      </w:r>
    </w:p>
    <w:p w14:paraId="00000019" w14:textId="77777777" w:rsidR="00927688" w:rsidRDefault="003F0ADA">
      <w:pPr>
        <w:spacing w:before="240" w:after="2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Se transformaron a datetime64, eliminando automáticamente el sufijo “UTC” y convirtiendo valores inválidos en </w:t>
      </w:r>
      <w:proofErr w:type="spellStart"/>
      <w:r>
        <w:rPr>
          <w:sz w:val="24"/>
          <w:szCs w:val="24"/>
          <w:highlight w:val="white"/>
        </w:rPr>
        <w:t>NaT</w:t>
      </w:r>
      <w:proofErr w:type="spellEnd"/>
      <w:r>
        <w:rPr>
          <w:sz w:val="24"/>
          <w:szCs w:val="24"/>
          <w:highlight w:val="white"/>
        </w:rPr>
        <w:t>.</w:t>
      </w:r>
    </w:p>
    <w:p w14:paraId="0000001A" w14:textId="77777777" w:rsidR="00927688" w:rsidRDefault="003F0ADA">
      <w:pPr>
        <w:pStyle w:val="Ttulo3"/>
        <w:keepNext w:val="0"/>
        <w:keepLines w:val="0"/>
        <w:spacing w:before="280"/>
        <w:rPr>
          <w:b/>
          <w:bCs/>
          <w:color w:val="000000"/>
          <w:sz w:val="24"/>
          <w:szCs w:val="24"/>
          <w:highlight w:val="white"/>
        </w:rPr>
      </w:pPr>
      <w:bookmarkStart w:id="2" w:name="_vf0pgi9nh1dw" w:colFirst="0" w:colLast="0"/>
      <w:bookmarkEnd w:id="2"/>
      <w:r>
        <w:rPr>
          <w:b/>
          <w:bCs/>
          <w:color w:val="000000"/>
          <w:sz w:val="24"/>
          <w:szCs w:val="24"/>
          <w:highlight w:val="white"/>
        </w:rPr>
        <w:t>- Estandarización del formato numérico.</w:t>
      </w:r>
    </w:p>
    <w:p w14:paraId="0000001B" w14:textId="77777777" w:rsidR="00927688" w:rsidRDefault="003F0ADA">
      <w:pPr>
        <w:spacing w:before="240" w:after="2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Los datos económicos presentaban formato europeo y símbolos.</w:t>
      </w:r>
      <w:r>
        <w:rPr>
          <w:sz w:val="24"/>
          <w:szCs w:val="24"/>
          <w:highlight w:val="white"/>
        </w:rPr>
        <w:br/>
        <w:t xml:space="preserve"> Se aplicaron las siguientes correcciones:</w:t>
      </w:r>
    </w:p>
    <w:p w14:paraId="0000001C" w14:textId="77777777" w:rsidR="00927688" w:rsidRDefault="003F0ADA">
      <w:pPr>
        <w:numPr>
          <w:ilvl w:val="0"/>
          <w:numId w:val="1"/>
        </w:numPr>
        <w:spacing w:before="240" w:line="240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Eliminación del punto como separador de miles.</w:t>
      </w:r>
    </w:p>
    <w:p w14:paraId="0000001D" w14:textId="77777777" w:rsidR="00927688" w:rsidRDefault="003F0ADA">
      <w:pPr>
        <w:numPr>
          <w:ilvl w:val="0"/>
          <w:numId w:val="1"/>
        </w:numPr>
        <w:spacing w:line="240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Reemplazo de la coma decimal por un punto estándar.</w:t>
      </w:r>
    </w:p>
    <w:p w14:paraId="0000001E" w14:textId="77777777" w:rsidR="00927688" w:rsidRDefault="003F0ADA">
      <w:pPr>
        <w:numPr>
          <w:ilvl w:val="0"/>
          <w:numId w:val="1"/>
        </w:numPr>
        <w:spacing w:line="240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Eliminación del símbolo “%”.</w:t>
      </w:r>
    </w:p>
    <w:p w14:paraId="0000001F" w14:textId="77777777" w:rsidR="00927688" w:rsidRDefault="003F0ADA">
      <w:pPr>
        <w:numPr>
          <w:ilvl w:val="0"/>
          <w:numId w:val="1"/>
        </w:numPr>
        <w:spacing w:line="240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Conversión final de toda</w:t>
      </w:r>
      <w:r>
        <w:rPr>
          <w:sz w:val="24"/>
          <w:szCs w:val="24"/>
          <w:highlight w:val="white"/>
        </w:rPr>
        <w:t xml:space="preserve">s las columnas numéricas a tipo </w:t>
      </w:r>
      <w:proofErr w:type="spellStart"/>
      <w:r>
        <w:rPr>
          <w:sz w:val="24"/>
          <w:szCs w:val="24"/>
          <w:highlight w:val="white"/>
        </w:rPr>
        <w:t>float</w:t>
      </w:r>
      <w:proofErr w:type="spellEnd"/>
      <w:r>
        <w:rPr>
          <w:sz w:val="24"/>
          <w:szCs w:val="24"/>
          <w:highlight w:val="white"/>
        </w:rPr>
        <w:t>.</w:t>
      </w:r>
    </w:p>
    <w:p w14:paraId="00000020" w14:textId="77777777" w:rsidR="00927688" w:rsidRDefault="003F0ADA">
      <w:pPr>
        <w:numPr>
          <w:ilvl w:val="0"/>
          <w:numId w:val="1"/>
        </w:numPr>
        <w:spacing w:after="240" w:line="240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Transformación de la población en millones a valores absolutos.</w:t>
      </w:r>
      <w:r>
        <w:rPr>
          <w:sz w:val="24"/>
          <w:szCs w:val="24"/>
          <w:highlight w:val="white"/>
        </w:rPr>
        <w:br/>
      </w:r>
    </w:p>
    <w:p w14:paraId="00000021" w14:textId="77777777" w:rsidR="00927688" w:rsidRDefault="003F0ADA">
      <w:pPr>
        <w:pStyle w:val="Ttulo3"/>
        <w:keepNext w:val="0"/>
        <w:keepLines w:val="0"/>
        <w:spacing w:before="280"/>
        <w:rPr>
          <w:b/>
          <w:bCs/>
          <w:color w:val="000000"/>
          <w:sz w:val="24"/>
          <w:szCs w:val="24"/>
          <w:highlight w:val="white"/>
        </w:rPr>
      </w:pPr>
      <w:bookmarkStart w:id="3" w:name="_o5pq9f43z64l" w:colFirst="0" w:colLast="0"/>
      <w:bookmarkEnd w:id="3"/>
      <w:r>
        <w:rPr>
          <w:b/>
          <w:bCs/>
          <w:color w:val="000000"/>
          <w:sz w:val="24"/>
          <w:szCs w:val="24"/>
          <w:highlight w:val="white"/>
        </w:rPr>
        <w:t>Formato uniforme en los nombres de columnas.</w:t>
      </w:r>
    </w:p>
    <w:p w14:paraId="00000022" w14:textId="77777777" w:rsidR="00927688" w:rsidRDefault="003F0ADA">
      <w:pPr>
        <w:spacing w:before="240" w:after="240"/>
        <w:rPr>
          <w:b/>
          <w:bCs/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Todos los nombres de columnas se estandarizaron a </w:t>
      </w:r>
      <w:proofErr w:type="spellStart"/>
      <w:r>
        <w:rPr>
          <w:sz w:val="24"/>
          <w:szCs w:val="24"/>
          <w:highlight w:val="white"/>
        </w:rPr>
        <w:t>snake_case</w:t>
      </w:r>
      <w:proofErr w:type="spellEnd"/>
      <w:r>
        <w:rPr>
          <w:sz w:val="24"/>
          <w:szCs w:val="24"/>
          <w:highlight w:val="white"/>
        </w:rPr>
        <w:t xml:space="preserve">, eliminando espacios, mayúsculas y caracteres </w:t>
      </w:r>
      <w:r>
        <w:rPr>
          <w:sz w:val="24"/>
          <w:szCs w:val="24"/>
          <w:highlight w:val="white"/>
        </w:rPr>
        <w:t>especiales para asegurar consistencia durante el análisis.</w:t>
      </w:r>
    </w:p>
    <w:p w14:paraId="00000023" w14:textId="77777777" w:rsidR="00927688" w:rsidRDefault="003F0ADA">
      <w:pPr>
        <w:shd w:val="clear" w:color="auto" w:fill="FFFFFF"/>
        <w:spacing w:before="220" w:after="220"/>
        <w:rPr>
          <w:sz w:val="24"/>
          <w:szCs w:val="24"/>
          <w:highlight w:val="white"/>
        </w:rPr>
      </w:pPr>
      <w:r>
        <w:rPr>
          <w:b/>
          <w:bCs/>
          <w:sz w:val="24"/>
          <w:szCs w:val="24"/>
          <w:highlight w:val="white"/>
        </w:rPr>
        <w:lastRenderedPageBreak/>
        <w:t>Agregación por ciudad-año y el uso de una unión INNER para integrar tráfico y economía:</w:t>
      </w:r>
    </w:p>
    <w:p w14:paraId="00000024" w14:textId="77777777" w:rsidR="00927688" w:rsidRDefault="003F0ADA">
      <w:pPr>
        <w:shd w:val="clear" w:color="auto" w:fill="FFFFFF"/>
        <w:spacing w:before="220" w:after="220"/>
        <w:jc w:val="both"/>
        <w:rPr>
          <w:b/>
          <w:bCs/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La integración final de los datos se realizó mediante una agregación por ciudad-año, donde primero se consoli</w:t>
      </w:r>
      <w:r>
        <w:rPr>
          <w:sz w:val="24"/>
          <w:szCs w:val="24"/>
          <w:highlight w:val="white"/>
        </w:rPr>
        <w:t xml:space="preserve">dó toda la información mensual de tráfico en un único registro anual por cada ciudad, calculando promedios y totales relevantes como </w:t>
      </w:r>
      <w:proofErr w:type="spellStart"/>
      <w:r>
        <w:rPr>
          <w:sz w:val="24"/>
          <w:szCs w:val="24"/>
          <w:highlight w:val="white"/>
        </w:rPr>
        <w:t>delay</w:t>
      </w:r>
      <w:proofErr w:type="spellEnd"/>
      <w:r>
        <w:rPr>
          <w:sz w:val="24"/>
          <w:szCs w:val="24"/>
          <w:highlight w:val="white"/>
        </w:rPr>
        <w:t xml:space="preserve"> promedio, </w:t>
      </w:r>
      <w:proofErr w:type="spellStart"/>
      <w:r>
        <w:rPr>
          <w:sz w:val="24"/>
          <w:szCs w:val="24"/>
          <w:highlight w:val="white"/>
        </w:rPr>
        <w:t>jams_count</w:t>
      </w:r>
      <w:proofErr w:type="spellEnd"/>
      <w:r>
        <w:rPr>
          <w:sz w:val="24"/>
          <w:szCs w:val="24"/>
          <w:highlight w:val="white"/>
        </w:rPr>
        <w:t xml:space="preserve"> anual y </w:t>
      </w:r>
      <w:proofErr w:type="spellStart"/>
      <w:r>
        <w:rPr>
          <w:sz w:val="24"/>
          <w:szCs w:val="24"/>
          <w:highlight w:val="white"/>
        </w:rPr>
        <w:t>travel</w:t>
      </w:r>
      <w:proofErr w:type="spellEnd"/>
      <w:r>
        <w:rPr>
          <w:sz w:val="24"/>
          <w:szCs w:val="24"/>
          <w:highlight w:val="white"/>
        </w:rPr>
        <w:t xml:space="preserve"> time medio. Posteriormente, este conjunto se combinó con la base económica (eco) </w:t>
      </w:r>
      <w:r>
        <w:rPr>
          <w:sz w:val="24"/>
          <w:szCs w:val="24"/>
          <w:highlight w:val="white"/>
        </w:rPr>
        <w:t xml:space="preserve">mediante una unión INNER, asegurando que solo se incluyeran en el análisis aquellas ciudades y años que estuvieran presentes simultáneamente en ambas fuentes. Este enfoque garantizó consistencia temporal, evitó duplicados y permitió obtener un </w:t>
      </w:r>
      <w:proofErr w:type="spellStart"/>
      <w:r>
        <w:rPr>
          <w:sz w:val="24"/>
          <w:szCs w:val="24"/>
          <w:highlight w:val="white"/>
        </w:rPr>
        <w:t>dataset</w:t>
      </w:r>
      <w:proofErr w:type="spellEnd"/>
      <w:r>
        <w:rPr>
          <w:sz w:val="24"/>
          <w:szCs w:val="24"/>
          <w:highlight w:val="white"/>
        </w:rPr>
        <w:t xml:space="preserve"> fina</w:t>
      </w:r>
      <w:r>
        <w:rPr>
          <w:sz w:val="24"/>
          <w:szCs w:val="24"/>
          <w:highlight w:val="white"/>
        </w:rPr>
        <w:t>l completamente alineado para el análisis comparativo entre congestión y variables económicas.</w:t>
      </w:r>
    </w:p>
    <w:p w14:paraId="00000025" w14:textId="77777777" w:rsidR="00927688" w:rsidRDefault="003F0ADA">
      <w:pPr>
        <w:shd w:val="clear" w:color="auto" w:fill="FFFFFF"/>
        <w:spacing w:before="220" w:after="220"/>
        <w:rPr>
          <w:b/>
          <w:bCs/>
          <w:sz w:val="24"/>
          <w:szCs w:val="24"/>
          <w:highlight w:val="white"/>
        </w:rPr>
      </w:pPr>
      <w:r>
        <w:rPr>
          <w:b/>
          <w:bCs/>
          <w:sz w:val="24"/>
          <w:szCs w:val="24"/>
          <w:highlight w:val="white"/>
        </w:rPr>
        <w:t xml:space="preserve">Validaciones visuales (distribuciones, </w:t>
      </w:r>
      <w:proofErr w:type="spellStart"/>
      <w:r>
        <w:rPr>
          <w:b/>
          <w:bCs/>
          <w:sz w:val="24"/>
          <w:szCs w:val="24"/>
          <w:highlight w:val="white"/>
        </w:rPr>
        <w:t>outliers</w:t>
      </w:r>
      <w:proofErr w:type="spellEnd"/>
      <w:r>
        <w:rPr>
          <w:b/>
          <w:bCs/>
          <w:sz w:val="24"/>
          <w:szCs w:val="24"/>
          <w:highlight w:val="white"/>
        </w:rPr>
        <w:t>, tendencias generales):</w:t>
      </w:r>
    </w:p>
    <w:p w14:paraId="00000026" w14:textId="77777777" w:rsidR="00927688" w:rsidRDefault="003F0ADA">
      <w:pPr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El </w:t>
      </w:r>
      <w:proofErr w:type="spellStart"/>
      <w:r>
        <w:rPr>
          <w:b/>
          <w:bCs/>
          <w:sz w:val="24"/>
          <w:szCs w:val="24"/>
          <w:highlight w:val="white"/>
        </w:rPr>
        <w:t>boxplot</w:t>
      </w:r>
      <w:proofErr w:type="spellEnd"/>
      <w:r>
        <w:rPr>
          <w:b/>
          <w:bCs/>
          <w:sz w:val="24"/>
          <w:szCs w:val="24"/>
          <w:highlight w:val="white"/>
        </w:rPr>
        <w:t xml:space="preserve"> de </w:t>
      </w:r>
      <w:proofErr w:type="spellStart"/>
      <w:r>
        <w:rPr>
          <w:b/>
          <w:bCs/>
          <w:sz w:val="24"/>
          <w:szCs w:val="24"/>
          <w:highlight w:val="white"/>
        </w:rPr>
        <w:t>JamsDelay</w:t>
      </w:r>
      <w:proofErr w:type="spellEnd"/>
      <w:r>
        <w:rPr>
          <w:b/>
          <w:bCs/>
          <w:sz w:val="24"/>
          <w:szCs w:val="24"/>
          <w:highlight w:val="white"/>
        </w:rPr>
        <w:t xml:space="preserve"> (2024)</w:t>
      </w:r>
      <w:r>
        <w:rPr>
          <w:sz w:val="24"/>
          <w:szCs w:val="24"/>
          <w:highlight w:val="white"/>
        </w:rPr>
        <w:t xml:space="preserve"> muestra la distribución general de los minutos de retraso </w:t>
      </w:r>
      <w:r>
        <w:rPr>
          <w:sz w:val="24"/>
          <w:szCs w:val="24"/>
          <w:highlight w:val="white"/>
        </w:rPr>
        <w:t>por congestión en las ciudades analizadas, permitiendo identificar la media, la mediana y la presencia de valores atípicos.</w:t>
      </w:r>
    </w:p>
    <w:p w14:paraId="00000027" w14:textId="77777777" w:rsidR="00927688" w:rsidRDefault="003F0ADA">
      <w:pPr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El </w:t>
      </w:r>
      <w:r>
        <w:rPr>
          <w:b/>
          <w:bCs/>
          <w:sz w:val="24"/>
          <w:szCs w:val="24"/>
          <w:highlight w:val="white"/>
        </w:rPr>
        <w:t>histograma de PIB per cápita</w:t>
      </w:r>
      <w:r>
        <w:rPr>
          <w:sz w:val="24"/>
          <w:szCs w:val="24"/>
          <w:highlight w:val="white"/>
        </w:rPr>
        <w:t xml:space="preserve"> ilustra cómo se distribuyen los niveles de ingreso económico entre las ciudades, evidenciando si la </w:t>
      </w:r>
      <w:r>
        <w:rPr>
          <w:sz w:val="24"/>
          <w:szCs w:val="24"/>
          <w:highlight w:val="white"/>
        </w:rPr>
        <w:t>mayoría se concentra en rangos bajos, medios o altos.</w:t>
      </w:r>
    </w:p>
    <w:p w14:paraId="00000028" w14:textId="77777777" w:rsidR="00927688" w:rsidRDefault="003F0ADA">
      <w:pPr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Finalmente, el </w:t>
      </w:r>
      <w:r>
        <w:rPr>
          <w:b/>
          <w:bCs/>
          <w:sz w:val="24"/>
          <w:szCs w:val="24"/>
          <w:highlight w:val="white"/>
        </w:rPr>
        <w:t>diagrama de barras comparativo</w:t>
      </w:r>
      <w:r>
        <w:rPr>
          <w:sz w:val="24"/>
          <w:szCs w:val="24"/>
          <w:highlight w:val="white"/>
        </w:rPr>
        <w:t xml:space="preserve"> integra ambas variables para observar patrones comunes, posibles relaciones, tendencias generales y la presencia de </w:t>
      </w:r>
      <w:proofErr w:type="spellStart"/>
      <w:r>
        <w:rPr>
          <w:sz w:val="24"/>
          <w:szCs w:val="24"/>
          <w:highlight w:val="white"/>
        </w:rPr>
        <w:t>outliers</w:t>
      </w:r>
      <w:proofErr w:type="spellEnd"/>
      <w:r>
        <w:rPr>
          <w:sz w:val="24"/>
          <w:szCs w:val="24"/>
          <w:highlight w:val="white"/>
        </w:rPr>
        <w:t xml:space="preserve"> entre las ciudades y la congest</w:t>
      </w:r>
      <w:r>
        <w:rPr>
          <w:sz w:val="24"/>
          <w:szCs w:val="24"/>
          <w:highlight w:val="white"/>
        </w:rPr>
        <w:t>ión.</w:t>
      </w:r>
    </w:p>
    <w:p w14:paraId="00000029" w14:textId="77777777" w:rsidR="00927688" w:rsidRDefault="00927688">
      <w:pPr>
        <w:rPr>
          <w:sz w:val="24"/>
          <w:szCs w:val="24"/>
          <w:highlight w:val="white"/>
        </w:rPr>
      </w:pPr>
    </w:p>
    <w:p w14:paraId="0000002A" w14:textId="77777777" w:rsidR="00927688" w:rsidRDefault="003F0ADA">
      <w:pPr>
        <w:rPr>
          <w:b/>
          <w:bCs/>
          <w:sz w:val="24"/>
          <w:szCs w:val="24"/>
          <w:highlight w:val="white"/>
        </w:rPr>
      </w:pPr>
      <w:r>
        <w:rPr>
          <w:b/>
          <w:bCs/>
          <w:sz w:val="24"/>
          <w:szCs w:val="24"/>
          <w:highlight w:val="white"/>
        </w:rPr>
        <w:t>Hallazgos iniciales y recomendaciones:</w:t>
      </w:r>
    </w:p>
    <w:p w14:paraId="0000002B" w14:textId="77777777" w:rsidR="00927688" w:rsidRDefault="00927688">
      <w:pPr>
        <w:rPr>
          <w:sz w:val="24"/>
          <w:szCs w:val="24"/>
          <w:highlight w:val="white"/>
        </w:rPr>
      </w:pPr>
    </w:p>
    <w:p w14:paraId="0000002C" w14:textId="77777777" w:rsidR="00927688" w:rsidRDefault="003F0ADA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El análisis muestra que la congestión y las condiciones de tráfico no dependen del PIB per cápita. Las correlaciones entre economía y tráfico son mínimas, mientras que los indicadores de congestión sí están fue</w:t>
      </w:r>
      <w:r>
        <w:rPr>
          <w:sz w:val="24"/>
          <w:szCs w:val="24"/>
          <w:highlight w:val="white"/>
        </w:rPr>
        <w:t>rtemente relacionados entre sí. El tiempo de viaje está determinado por el nivel de tráfico real, no por la riqueza de la ciudad.</w:t>
      </w:r>
    </w:p>
    <w:p w14:paraId="0000002D" w14:textId="77777777" w:rsidR="00927688" w:rsidRDefault="00927688">
      <w:pPr>
        <w:rPr>
          <w:b/>
          <w:bCs/>
          <w:sz w:val="24"/>
          <w:szCs w:val="24"/>
          <w:highlight w:val="white"/>
        </w:rPr>
      </w:pPr>
    </w:p>
    <w:p w14:paraId="0000002E" w14:textId="77777777" w:rsidR="00927688" w:rsidRDefault="003F0ADA">
      <w:pPr>
        <w:rPr>
          <w:b/>
          <w:bCs/>
          <w:sz w:val="24"/>
          <w:szCs w:val="24"/>
          <w:highlight w:val="white"/>
        </w:rPr>
      </w:pPr>
      <w:r>
        <w:rPr>
          <w:b/>
          <w:bCs/>
          <w:sz w:val="24"/>
          <w:szCs w:val="24"/>
          <w:highlight w:val="white"/>
        </w:rPr>
        <w:t>Puntos importantes:</w:t>
      </w:r>
    </w:p>
    <w:p w14:paraId="0000002F" w14:textId="77777777" w:rsidR="00927688" w:rsidRDefault="003F0ADA">
      <w:pPr>
        <w:spacing w:before="240" w:after="2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El análisis revela que </w:t>
      </w:r>
      <w:r>
        <w:rPr>
          <w:b/>
          <w:bCs/>
          <w:sz w:val="24"/>
          <w:szCs w:val="24"/>
          <w:highlight w:val="white"/>
        </w:rPr>
        <w:t xml:space="preserve">Santiago </w:t>
      </w:r>
      <w:r>
        <w:rPr>
          <w:sz w:val="24"/>
          <w:szCs w:val="24"/>
          <w:highlight w:val="white"/>
        </w:rPr>
        <w:t>presenta la relación más crítica entre congestión y productividad económica: con un nivel de congestión promedio de 629.86 y el PIB per cápita más bajo del conjunto (2,277), la presión del tráfico sobre su desempeño económico es desproporcionadamente alta.</w:t>
      </w:r>
      <w:r>
        <w:rPr>
          <w:sz w:val="24"/>
          <w:szCs w:val="24"/>
          <w:highlight w:val="white"/>
        </w:rPr>
        <w:t xml:space="preserve"> </w:t>
      </w:r>
    </w:p>
    <w:p w14:paraId="00000030" w14:textId="77777777" w:rsidR="00927688" w:rsidRDefault="003F0ADA">
      <w:pPr>
        <w:spacing w:before="240" w:after="2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En comparación, </w:t>
      </w:r>
      <w:r>
        <w:rPr>
          <w:b/>
          <w:bCs/>
          <w:sz w:val="24"/>
          <w:szCs w:val="24"/>
          <w:highlight w:val="white"/>
        </w:rPr>
        <w:t xml:space="preserve">Bogotá </w:t>
      </w:r>
      <w:r>
        <w:rPr>
          <w:sz w:val="24"/>
          <w:szCs w:val="24"/>
          <w:highlight w:val="white"/>
        </w:rPr>
        <w:t>muestra una congestión aún mayor (1,141), pero su PIB per cápita (11,442) es moderado, lo que la hace vulnerable.</w:t>
      </w:r>
    </w:p>
    <w:p w14:paraId="00000031" w14:textId="77777777" w:rsidR="00927688" w:rsidRDefault="003F0ADA">
      <w:pPr>
        <w:spacing w:before="240" w:after="2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lastRenderedPageBreak/>
        <w:t xml:space="preserve">Este contraste posiciona a Santiago y a Bogotá como las ciudades con mayor urgencia para intervenciones que reduzcan </w:t>
      </w:r>
      <w:r>
        <w:rPr>
          <w:sz w:val="24"/>
          <w:szCs w:val="24"/>
          <w:highlight w:val="white"/>
        </w:rPr>
        <w:t>la congestión y protejan su productividad.</w:t>
      </w:r>
    </w:p>
    <w:p w14:paraId="00000032" w14:textId="77777777" w:rsidR="00927688" w:rsidRDefault="003F0ADA">
      <w:pPr>
        <w:spacing w:before="240" w:after="240"/>
        <w:rPr>
          <w:sz w:val="24"/>
          <w:szCs w:val="24"/>
          <w:highlight w:val="white"/>
        </w:rPr>
      </w:pPr>
      <w:r>
        <w:rPr>
          <w:b/>
          <w:bCs/>
          <w:sz w:val="24"/>
          <w:szCs w:val="24"/>
          <w:highlight w:val="white"/>
        </w:rPr>
        <w:t>Recomendaciones:</w:t>
      </w:r>
    </w:p>
    <w:p w14:paraId="00000033" w14:textId="77777777" w:rsidR="00927688" w:rsidRDefault="003F0ADA">
      <w:pPr>
        <w:spacing w:before="240" w:after="240"/>
        <w:rPr>
          <w:sz w:val="24"/>
          <w:szCs w:val="24"/>
          <w:highlight w:val="white"/>
        </w:rPr>
      </w:pPr>
      <w:r>
        <w:rPr>
          <w:b/>
          <w:bCs/>
          <w:sz w:val="24"/>
          <w:szCs w:val="24"/>
          <w:highlight w:val="white"/>
        </w:rPr>
        <w:t>Priorizar inversiones en movilidad e infraestructura especialmente en</w:t>
      </w:r>
      <w:r>
        <w:rPr>
          <w:sz w:val="24"/>
          <w:szCs w:val="24"/>
          <w:highlight w:val="white"/>
        </w:rPr>
        <w:t>:</w:t>
      </w:r>
    </w:p>
    <w:p w14:paraId="00000034" w14:textId="77777777" w:rsidR="00927688" w:rsidRDefault="003F0ADA">
      <w:pPr>
        <w:spacing w:before="240" w:after="240"/>
        <w:rPr>
          <w:b/>
          <w:bCs/>
          <w:sz w:val="24"/>
          <w:szCs w:val="24"/>
          <w:highlight w:val="white"/>
        </w:rPr>
      </w:pPr>
      <w:r>
        <w:rPr>
          <w:b/>
          <w:bCs/>
          <w:sz w:val="24"/>
          <w:szCs w:val="24"/>
          <w:highlight w:val="white"/>
        </w:rPr>
        <w:t>Santiago:</w:t>
      </w:r>
    </w:p>
    <w:p w14:paraId="00000035" w14:textId="77777777" w:rsidR="00927688" w:rsidRDefault="003F0ADA">
      <w:pPr>
        <w:numPr>
          <w:ilvl w:val="0"/>
          <w:numId w:val="3"/>
        </w:numPr>
        <w:spacing w:before="2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Se recomienda confirmar la exactitud del IPC en la base de datos original. </w:t>
      </w:r>
    </w:p>
    <w:p w14:paraId="00000036" w14:textId="77777777" w:rsidR="00927688" w:rsidRDefault="003F0ADA">
      <w:pPr>
        <w:numPr>
          <w:ilvl w:val="0"/>
          <w:numId w:val="3"/>
        </w:num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Se recomienda revisión urgente de semaf</w:t>
      </w:r>
      <w:r>
        <w:rPr>
          <w:sz w:val="24"/>
          <w:szCs w:val="24"/>
          <w:highlight w:val="white"/>
        </w:rPr>
        <w:t>orización inteligente y rediseño de intersecciones críticas.</w:t>
      </w:r>
    </w:p>
    <w:p w14:paraId="00000037" w14:textId="77777777" w:rsidR="00927688" w:rsidRDefault="003F0ADA">
      <w:pPr>
        <w:numPr>
          <w:ilvl w:val="0"/>
          <w:numId w:val="3"/>
        </w:numPr>
        <w:spacing w:after="2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Se recomienda investigación del estado actual de ciclorrutas continuas y seguras.</w:t>
      </w:r>
    </w:p>
    <w:p w14:paraId="00000038" w14:textId="0ADE1E98" w:rsidR="00927688" w:rsidRDefault="00A67899">
      <w:pPr>
        <w:spacing w:before="240" w:after="240"/>
        <w:rPr>
          <w:b/>
          <w:bCs/>
          <w:sz w:val="24"/>
          <w:szCs w:val="24"/>
          <w:highlight w:val="white"/>
        </w:rPr>
      </w:pPr>
      <w:r>
        <w:rPr>
          <w:b/>
          <w:bCs/>
          <w:sz w:val="24"/>
          <w:szCs w:val="24"/>
          <w:highlight w:val="white"/>
        </w:rPr>
        <w:t>Bogotá</w:t>
      </w:r>
      <w:r w:rsidR="003F0ADA">
        <w:rPr>
          <w:b/>
          <w:bCs/>
          <w:sz w:val="24"/>
          <w:szCs w:val="24"/>
          <w:highlight w:val="white"/>
        </w:rPr>
        <w:t xml:space="preserve">: </w:t>
      </w:r>
    </w:p>
    <w:p w14:paraId="00000039" w14:textId="77777777" w:rsidR="00927688" w:rsidRDefault="003F0ADA">
      <w:pPr>
        <w:numPr>
          <w:ilvl w:val="0"/>
          <w:numId w:val="2"/>
        </w:numPr>
        <w:spacing w:before="240" w:after="2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Se recomienda priorizar inversiones en movilidad, incluyendo transporte masivo, sistemas inteligentes de tráfico, mejoras en corredores viales y movilidad sostenible.</w:t>
      </w:r>
    </w:p>
    <w:p w14:paraId="0000003A" w14:textId="77777777" w:rsidR="00927688" w:rsidRDefault="003F0ADA">
      <w:pPr>
        <w:spacing w:before="240" w:after="240"/>
        <w:rPr>
          <w:b/>
          <w:bCs/>
          <w:sz w:val="24"/>
          <w:szCs w:val="24"/>
          <w:highlight w:val="white"/>
        </w:rPr>
      </w:pPr>
      <w:r>
        <w:rPr>
          <w:b/>
          <w:bCs/>
          <w:sz w:val="24"/>
          <w:szCs w:val="24"/>
          <w:highlight w:val="white"/>
        </w:rPr>
        <w:t>Nota adicional:</w:t>
      </w:r>
    </w:p>
    <w:p w14:paraId="0000003B" w14:textId="77777777" w:rsidR="00927688" w:rsidRDefault="003F0ADA">
      <w:pPr>
        <w:spacing w:before="240" w:after="24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En términos generales, se recomienda priorizar grandes inversiones para m</w:t>
      </w:r>
      <w:r>
        <w:rPr>
          <w:sz w:val="24"/>
          <w:szCs w:val="24"/>
          <w:highlight w:val="white"/>
        </w:rPr>
        <w:t xml:space="preserve">ejorar la movilidad en Ciudad de México y São Paulo, ya que ambas presentan niveles especialmente altos de congestión reflejados en sus elevados </w:t>
      </w:r>
      <w:proofErr w:type="spellStart"/>
      <w:r>
        <w:rPr>
          <w:sz w:val="24"/>
          <w:szCs w:val="24"/>
          <w:highlight w:val="white"/>
        </w:rPr>
        <w:t>jams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delay</w:t>
      </w:r>
      <w:proofErr w:type="spellEnd"/>
      <w:r>
        <w:rPr>
          <w:sz w:val="24"/>
          <w:szCs w:val="24"/>
          <w:highlight w:val="white"/>
        </w:rPr>
        <w:t xml:space="preserve"> junto con retos económicos que limitan la productividad urbana. Esta combinación indica una oportuni</w:t>
      </w:r>
      <w:r>
        <w:rPr>
          <w:sz w:val="24"/>
          <w:szCs w:val="24"/>
          <w:highlight w:val="white"/>
        </w:rPr>
        <w:t>dad estratégica: intervenir en su infraestructura de transporte podría generar retornos significativos al reducir pérdidas de tiempo, mejorar la eficiencia operativa y elevar la competitividad económica de ambas ciudades.</w:t>
      </w:r>
    </w:p>
    <w:p w14:paraId="0000003C" w14:textId="77777777" w:rsidR="00927688" w:rsidRDefault="00927688">
      <w:pPr>
        <w:spacing w:before="240" w:after="240"/>
        <w:rPr>
          <w:b/>
          <w:bCs/>
          <w:sz w:val="24"/>
          <w:szCs w:val="24"/>
          <w:highlight w:val="white"/>
        </w:rPr>
      </w:pPr>
    </w:p>
    <w:p w14:paraId="0000003D" w14:textId="77777777" w:rsidR="00927688" w:rsidRDefault="00927688">
      <w:pPr>
        <w:spacing w:before="240" w:after="240"/>
        <w:rPr>
          <w:sz w:val="24"/>
          <w:szCs w:val="24"/>
          <w:highlight w:val="white"/>
        </w:rPr>
      </w:pPr>
    </w:p>
    <w:p w14:paraId="0000003E" w14:textId="77777777" w:rsidR="00927688" w:rsidRDefault="00927688">
      <w:pPr>
        <w:rPr>
          <w:sz w:val="24"/>
          <w:szCs w:val="24"/>
          <w:highlight w:val="white"/>
        </w:rPr>
      </w:pPr>
    </w:p>
    <w:sectPr w:rsidR="00927688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E56AC7" w14:textId="77777777" w:rsidR="003F0ADA" w:rsidRDefault="003F0ADA">
      <w:pPr>
        <w:spacing w:line="240" w:lineRule="auto"/>
      </w:pPr>
      <w:r>
        <w:separator/>
      </w:r>
    </w:p>
  </w:endnote>
  <w:endnote w:type="continuationSeparator" w:id="0">
    <w:p w14:paraId="4C0CDC16" w14:textId="77777777" w:rsidR="003F0ADA" w:rsidRDefault="003F0A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02DDABC-14CE-4FA0-A8AE-22C692098F4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E67AC58-62FE-471E-9DCE-DA69381A6F4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D47EC2" w14:textId="77777777" w:rsidR="003F0ADA" w:rsidRDefault="003F0ADA">
      <w:pPr>
        <w:spacing w:line="240" w:lineRule="auto"/>
      </w:pPr>
      <w:r>
        <w:separator/>
      </w:r>
    </w:p>
  </w:footnote>
  <w:footnote w:type="continuationSeparator" w:id="0">
    <w:p w14:paraId="0FE3938D" w14:textId="77777777" w:rsidR="003F0ADA" w:rsidRDefault="003F0AD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3F" w14:textId="77777777" w:rsidR="00927688" w:rsidRDefault="0092768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D46543"/>
    <w:multiLevelType w:val="multilevel"/>
    <w:tmpl w:val="23F4A6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0532D50"/>
    <w:multiLevelType w:val="multilevel"/>
    <w:tmpl w:val="3EC6B1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7F7174"/>
    <w:multiLevelType w:val="multilevel"/>
    <w:tmpl w:val="988CD6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7688"/>
    <w:rsid w:val="003F0ADA"/>
    <w:rsid w:val="00927688"/>
    <w:rsid w:val="00A67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032B424-8A72-473B-912A-65CA85903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1126</Words>
  <Characters>6424</Characters>
  <Application>Microsoft Office Word</Application>
  <DocSecurity>0</DocSecurity>
  <Lines>53</Lines>
  <Paragraphs>15</Paragraphs>
  <ScaleCrop>false</ScaleCrop>
  <Company>HP</Company>
  <LinksUpToDate>false</LinksUpToDate>
  <CharactersWithSpaces>7535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Camilot Andres</cp:lastModifiedBy>
  <cp:revision>2</cp:revision>
  <dcterms:created xsi:type="dcterms:W3CDTF">2025-11-30T20:45:00Z</dcterms:created>
  <dcterms:modified xsi:type="dcterms:W3CDTF">2025-11-30T20:45:00Z</dcterms:modified>
</cp:coreProperties>
</file>