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C07E1" w14:textId="3E7B65B9" w:rsidR="00704C09" w:rsidRPr="009C3DF2" w:rsidRDefault="00901428" w:rsidP="00901428">
      <w:pPr>
        <w:jc w:val="center"/>
        <w:rPr>
          <w:b/>
          <w:bCs/>
        </w:rPr>
      </w:pPr>
      <w:r w:rsidRPr="009C3DF2">
        <w:rPr>
          <w:b/>
          <w:bCs/>
        </w:rPr>
        <w:t xml:space="preserve">MIP </w:t>
      </w:r>
      <w:r w:rsidR="009C3DF2" w:rsidRPr="009C3DF2">
        <w:rPr>
          <w:b/>
          <w:bCs/>
        </w:rPr>
        <w:t>Core</w:t>
      </w:r>
      <w:r w:rsidRPr="009C3DF2">
        <w:rPr>
          <w:b/>
          <w:bCs/>
        </w:rPr>
        <w:t xml:space="preserve"> </w:t>
      </w:r>
      <w:r w:rsidR="009C3DF2" w:rsidRPr="009C3DF2">
        <w:rPr>
          <w:b/>
          <w:bCs/>
        </w:rPr>
        <w:t>Standard Operating Procedures</w:t>
      </w:r>
    </w:p>
    <w:p w14:paraId="321EB2C7" w14:textId="3C481856" w:rsidR="00901428" w:rsidRDefault="00901428" w:rsidP="00901428">
      <w:r w:rsidRPr="009C3DF2">
        <w:rPr>
          <w:b/>
          <w:bCs/>
        </w:rPr>
        <w:t>Mission</w:t>
      </w:r>
      <w:r>
        <w:t xml:space="preserve">: We exist to facilitate access to sequencers and other related instruments so that CSU researchers may have access to next-generation sequencing technology. </w:t>
      </w:r>
    </w:p>
    <w:p w14:paraId="57D469EF" w14:textId="205C45AE" w:rsidR="00901428" w:rsidRDefault="00901428" w:rsidP="00901428"/>
    <w:p w14:paraId="000FDB6B" w14:textId="111EB970" w:rsidR="00933DF5" w:rsidRPr="00933DF5" w:rsidRDefault="00933DF5" w:rsidP="00933DF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33DF5">
        <w:rPr>
          <w:b/>
          <w:bCs/>
          <w:u w:val="single"/>
        </w:rPr>
        <w:t>Illumina Instrument Operations</w:t>
      </w:r>
    </w:p>
    <w:p w14:paraId="0A1E3BFC" w14:textId="436C8CB4" w:rsidR="00901428" w:rsidRDefault="00933DF5" w:rsidP="00901428">
      <w:pPr>
        <w:pStyle w:val="ListParagraph"/>
        <w:numPr>
          <w:ilvl w:val="0"/>
          <w:numId w:val="1"/>
        </w:numPr>
      </w:pPr>
      <w:r w:rsidRPr="00933DF5">
        <w:rPr>
          <w:b/>
          <w:bCs/>
        </w:rPr>
        <w:t>Training</w:t>
      </w:r>
      <w:r w:rsidR="00901428">
        <w:t xml:space="preserve">: </w:t>
      </w:r>
    </w:p>
    <w:p w14:paraId="7C571457" w14:textId="0E3A7C76" w:rsidR="00933DF5" w:rsidRPr="00933DF5" w:rsidRDefault="00901428" w:rsidP="00933DF5">
      <w:pPr>
        <w:pStyle w:val="ListParagraph"/>
        <w:numPr>
          <w:ilvl w:val="1"/>
          <w:numId w:val="1"/>
        </w:numPr>
      </w:pPr>
      <w:r>
        <w:t xml:space="preserve">Users must undergo a 3-step training before independently loading the sequencers. </w:t>
      </w:r>
      <w:r w:rsidR="00933DF5" w:rsidRPr="00933DF5">
        <w:t>The Facilitator</w:t>
      </w:r>
      <w:r w:rsidR="00AB3962">
        <w:t xml:space="preserve"> (Marylee Kapuscinski)</w:t>
      </w:r>
      <w:r w:rsidR="00933DF5" w:rsidRPr="00933DF5">
        <w:t xml:space="preserve"> will host monthly or twice-monthly group training sessions: Users learn how the instruments work, how to perform library QC and quantification, how to perform the denature &amp; dilution protocol, and how to load and start a sequencing run. </w:t>
      </w:r>
    </w:p>
    <w:p w14:paraId="33B436F5" w14:textId="77777777" w:rsidR="00933DF5" w:rsidRPr="00933DF5" w:rsidRDefault="00933DF5" w:rsidP="00933DF5">
      <w:pPr>
        <w:pStyle w:val="ListParagraph"/>
        <w:numPr>
          <w:ilvl w:val="1"/>
          <w:numId w:val="1"/>
        </w:numPr>
      </w:pPr>
      <w:r w:rsidRPr="00933DF5">
        <w:t xml:space="preserve">One-on-one training: The user will load the sequencer under the supervision of the Facilitator. This will serve as a credentialing exercise for the user to be approved to run the sequencers independently.  </w:t>
      </w:r>
    </w:p>
    <w:p w14:paraId="23AD2E65" w14:textId="4ADF236F" w:rsidR="00933DF5" w:rsidRPr="00933DF5" w:rsidRDefault="00933DF5" w:rsidP="00933DF5">
      <w:pPr>
        <w:pStyle w:val="ListParagraph"/>
        <w:numPr>
          <w:ilvl w:val="1"/>
          <w:numId w:val="1"/>
        </w:numPr>
      </w:pPr>
      <w:r w:rsidRPr="00933DF5">
        <w:t xml:space="preserve">Upon success of the credentialling run, users will be approved to load future runs by themselves without supervision by the Facilitator. This approval will not be transferrable to other users: all new users must be independently trained and </w:t>
      </w:r>
      <w:r w:rsidR="00AB3962" w:rsidRPr="00933DF5">
        <w:t>approved,</w:t>
      </w:r>
      <w:r w:rsidRPr="00933DF5">
        <w:t xml:space="preserve"> and individual users cannot train or approve other users.  </w:t>
      </w:r>
    </w:p>
    <w:p w14:paraId="6C1CE127" w14:textId="45306053" w:rsidR="00901428" w:rsidRDefault="00933DF5" w:rsidP="00933DF5">
      <w:pPr>
        <w:pStyle w:val="ListParagraph"/>
        <w:numPr>
          <w:ilvl w:val="0"/>
          <w:numId w:val="1"/>
        </w:numPr>
      </w:pPr>
      <w:r w:rsidRPr="00933DF5">
        <w:rPr>
          <w:b/>
          <w:bCs/>
        </w:rPr>
        <w:t>Scheduling</w:t>
      </w:r>
      <w:r>
        <w:t>:</w:t>
      </w:r>
    </w:p>
    <w:p w14:paraId="350F435E" w14:textId="21EAAE1A" w:rsidR="00901428" w:rsidRDefault="00901428" w:rsidP="00901428">
      <w:pPr>
        <w:pStyle w:val="ListParagraph"/>
        <w:numPr>
          <w:ilvl w:val="1"/>
          <w:numId w:val="1"/>
        </w:numPr>
      </w:pPr>
      <w:r>
        <w:t xml:space="preserve">To schedule a time to use the sequencers, please email Marylee Kapuscinski at </w:t>
      </w:r>
      <w:hyperlink r:id="rId5" w:history="1">
        <w:r w:rsidRPr="00B03CE5">
          <w:rPr>
            <w:rStyle w:val="Hyperlink"/>
          </w:rPr>
          <w:t>Marylee.Layton@colostate.edu</w:t>
        </w:r>
      </w:hyperlink>
      <w:r>
        <w:t xml:space="preserve">. Please use the Outlook Calendar to find an available time. You must provide an account # and PI name </w:t>
      </w:r>
      <w:r w:rsidR="00933DF5">
        <w:t>to</w:t>
      </w:r>
      <w:r>
        <w:t xml:space="preserve"> reserve a spot on the Calendar. This account # will be charged at the end of each month. If you reserve a </w:t>
      </w:r>
      <w:r w:rsidR="00AB3962">
        <w:t>timeslot</w:t>
      </w:r>
      <w:r w:rsidR="00933DF5">
        <w:t xml:space="preserve">, but for some reason do not load the sequencer, you must contact Marylee, otherwise, you will be billed. </w:t>
      </w:r>
    </w:p>
    <w:p w14:paraId="384B7EA3" w14:textId="3F0E8937" w:rsidR="00933DF5" w:rsidRDefault="00933DF5" w:rsidP="00933DF5">
      <w:pPr>
        <w:pStyle w:val="ListParagraph"/>
        <w:numPr>
          <w:ilvl w:val="0"/>
          <w:numId w:val="1"/>
        </w:numPr>
      </w:pPr>
      <w:r w:rsidRPr="00933DF5">
        <w:rPr>
          <w:b/>
          <w:bCs/>
        </w:rPr>
        <w:t>Maintenance</w:t>
      </w:r>
      <w:r>
        <w:t xml:space="preserve">: Marylee will perform all post-run washes and monthly washes. You do not need to do this. If, for some reason, these washes have not been performed, please contact Marylee. </w:t>
      </w:r>
    </w:p>
    <w:p w14:paraId="7AE8B555" w14:textId="28F20775" w:rsidR="00933DF5" w:rsidRDefault="00933DF5" w:rsidP="00933DF5">
      <w:pPr>
        <w:pStyle w:val="ListParagraph"/>
        <w:numPr>
          <w:ilvl w:val="0"/>
          <w:numId w:val="1"/>
        </w:numPr>
      </w:pPr>
      <w:r w:rsidRPr="00933DF5">
        <w:rPr>
          <w:b/>
          <w:bCs/>
        </w:rPr>
        <w:t>Failed</w:t>
      </w:r>
      <w:r>
        <w:t xml:space="preserve"> </w:t>
      </w:r>
      <w:r w:rsidRPr="00933DF5">
        <w:rPr>
          <w:b/>
          <w:bCs/>
        </w:rPr>
        <w:t>Runs</w:t>
      </w:r>
      <w:r>
        <w:t xml:space="preserve">: In the case of a failed run, please contact Marylee. She will call Illumina and perform any troubleshooting recommended by Illumina. Once the instrument is cleared, you will be contacted with next steps.  </w:t>
      </w:r>
    </w:p>
    <w:p w14:paraId="6814EC24" w14:textId="77777777" w:rsidR="009C3DF2" w:rsidRDefault="009C3DF2" w:rsidP="009C3DF2"/>
    <w:p w14:paraId="7BE332D4" w14:textId="69BBC4B7" w:rsidR="009C3DF2" w:rsidRPr="009C3DF2" w:rsidRDefault="009C3DF2" w:rsidP="009C3DF2">
      <w:pPr>
        <w:pStyle w:val="ListParagraph"/>
        <w:numPr>
          <w:ilvl w:val="0"/>
          <w:numId w:val="3"/>
        </w:numPr>
      </w:pPr>
      <w:r w:rsidRPr="009C3DF2">
        <w:rPr>
          <w:b/>
          <w:bCs/>
          <w:u w:val="single"/>
        </w:rPr>
        <w:t xml:space="preserve">Equipment that will </w:t>
      </w:r>
      <w:r w:rsidR="00AB3962">
        <w:rPr>
          <w:b/>
          <w:bCs/>
          <w:u w:val="single"/>
        </w:rPr>
        <w:t xml:space="preserve">be </w:t>
      </w:r>
      <w:r w:rsidRPr="009C3DF2">
        <w:rPr>
          <w:b/>
          <w:bCs/>
          <w:u w:val="single"/>
        </w:rPr>
        <w:t>accessible in the facility</w:t>
      </w:r>
      <w:r w:rsidRPr="009C3DF2">
        <w:rPr>
          <w:b/>
          <w:bCs/>
        </w:rPr>
        <w:t xml:space="preserve">: </w:t>
      </w:r>
    </w:p>
    <w:p w14:paraId="2AEB63FD" w14:textId="5D009F11" w:rsidR="009C3DF2" w:rsidRPr="009C3DF2" w:rsidRDefault="009C3DF2" w:rsidP="009C3DF2">
      <w:pPr>
        <w:pStyle w:val="ListParagraph"/>
      </w:pPr>
      <w:r w:rsidRPr="009C3DF2">
        <w:t xml:space="preserve">The following instruments will be available </w:t>
      </w:r>
      <w:proofErr w:type="gramStart"/>
      <w:r w:rsidRPr="009C3DF2">
        <w:t>open-access</w:t>
      </w:r>
      <w:proofErr w:type="gramEnd"/>
      <w:r w:rsidRPr="009C3DF2">
        <w:t xml:space="preserve"> to trained and approved users: </w:t>
      </w:r>
    </w:p>
    <w:p w14:paraId="2367ABCE" w14:textId="77777777" w:rsidR="009C3DF2" w:rsidRPr="009C3DF2" w:rsidRDefault="009C3DF2" w:rsidP="009C3DF2">
      <w:pPr>
        <w:numPr>
          <w:ilvl w:val="0"/>
          <w:numId w:val="5"/>
        </w:numPr>
      </w:pPr>
      <w:proofErr w:type="spellStart"/>
      <w:r w:rsidRPr="009C3DF2">
        <w:t>MiSeq</w:t>
      </w:r>
      <w:proofErr w:type="spellEnd"/>
      <w:r w:rsidRPr="009C3DF2">
        <w:t xml:space="preserve"> Sequencer</w:t>
      </w:r>
    </w:p>
    <w:p w14:paraId="5B36B339" w14:textId="77777777" w:rsidR="009C3DF2" w:rsidRPr="009C3DF2" w:rsidRDefault="009C3DF2" w:rsidP="009C3DF2">
      <w:pPr>
        <w:numPr>
          <w:ilvl w:val="0"/>
          <w:numId w:val="5"/>
        </w:numPr>
      </w:pPr>
      <w:proofErr w:type="spellStart"/>
      <w:r w:rsidRPr="009C3DF2">
        <w:t>NextSeq</w:t>
      </w:r>
      <w:proofErr w:type="spellEnd"/>
      <w:r w:rsidRPr="009C3DF2">
        <w:t xml:space="preserve"> Sequencer</w:t>
      </w:r>
    </w:p>
    <w:p w14:paraId="5C86686F" w14:textId="77777777" w:rsidR="009C3DF2" w:rsidRPr="009C3DF2" w:rsidRDefault="009C3DF2" w:rsidP="009C3DF2">
      <w:pPr>
        <w:numPr>
          <w:ilvl w:val="0"/>
          <w:numId w:val="5"/>
        </w:numPr>
      </w:pPr>
      <w:proofErr w:type="spellStart"/>
      <w:r w:rsidRPr="009C3DF2">
        <w:t>MinION</w:t>
      </w:r>
      <w:proofErr w:type="spellEnd"/>
      <w:r w:rsidRPr="009C3DF2">
        <w:t xml:space="preserve"> sequencers and GPU </w:t>
      </w:r>
      <w:proofErr w:type="spellStart"/>
      <w:r w:rsidRPr="009C3DF2">
        <w:t>basecalling</w:t>
      </w:r>
      <w:proofErr w:type="spellEnd"/>
      <w:r w:rsidRPr="009C3DF2">
        <w:t xml:space="preserve"> computer</w:t>
      </w:r>
    </w:p>
    <w:p w14:paraId="2B6160DD" w14:textId="77777777" w:rsidR="009C3DF2" w:rsidRPr="009C3DF2" w:rsidRDefault="009C3DF2" w:rsidP="009C3DF2">
      <w:pPr>
        <w:numPr>
          <w:ilvl w:val="0"/>
          <w:numId w:val="5"/>
        </w:numPr>
      </w:pPr>
      <w:r w:rsidRPr="009C3DF2">
        <w:t>ngsdata01 server for data storage and demultiplexing.</w:t>
      </w:r>
    </w:p>
    <w:p w14:paraId="51CDBF66" w14:textId="77777777" w:rsidR="009C3DF2" w:rsidRPr="009C3DF2" w:rsidRDefault="009C3DF2" w:rsidP="009C3DF2">
      <w:pPr>
        <w:numPr>
          <w:ilvl w:val="0"/>
          <w:numId w:val="5"/>
        </w:numPr>
      </w:pPr>
      <w:proofErr w:type="spellStart"/>
      <w:r w:rsidRPr="009C3DF2">
        <w:t>Drobo</w:t>
      </w:r>
      <w:proofErr w:type="spellEnd"/>
      <w:r w:rsidRPr="009C3DF2">
        <w:t xml:space="preserve"> backup of data on ngsdata01 server.</w:t>
      </w:r>
    </w:p>
    <w:p w14:paraId="5D347FF9" w14:textId="77777777" w:rsidR="009C3DF2" w:rsidRPr="009C3DF2" w:rsidRDefault="009C3DF2" w:rsidP="009C3DF2">
      <w:pPr>
        <w:numPr>
          <w:ilvl w:val="0"/>
          <w:numId w:val="5"/>
        </w:numPr>
      </w:pPr>
      <w:r w:rsidRPr="009C3DF2">
        <w:t>10X Chromium Single Cell sequencing instrument</w:t>
      </w:r>
    </w:p>
    <w:p w14:paraId="421E5E15" w14:textId="77777777" w:rsidR="009C3DF2" w:rsidRPr="009C3DF2" w:rsidRDefault="009C3DF2" w:rsidP="009C3DF2">
      <w:pPr>
        <w:numPr>
          <w:ilvl w:val="0"/>
          <w:numId w:val="5"/>
        </w:numPr>
      </w:pPr>
      <w:proofErr w:type="spellStart"/>
      <w:r w:rsidRPr="009C3DF2">
        <w:t>Tapestation</w:t>
      </w:r>
      <w:proofErr w:type="spellEnd"/>
      <w:r w:rsidRPr="009C3DF2">
        <w:t xml:space="preserve"> 2200</w:t>
      </w:r>
    </w:p>
    <w:p w14:paraId="220C1150" w14:textId="77777777" w:rsidR="009C3DF2" w:rsidRPr="009C3DF2" w:rsidRDefault="009C3DF2" w:rsidP="009C3DF2">
      <w:pPr>
        <w:numPr>
          <w:ilvl w:val="0"/>
          <w:numId w:val="5"/>
        </w:numPr>
      </w:pPr>
      <w:proofErr w:type="spellStart"/>
      <w:r w:rsidRPr="009C3DF2">
        <w:t>Tapestation</w:t>
      </w:r>
      <w:proofErr w:type="spellEnd"/>
      <w:r w:rsidRPr="009C3DF2">
        <w:t xml:space="preserve"> 4200</w:t>
      </w:r>
    </w:p>
    <w:p w14:paraId="4401010E" w14:textId="77777777" w:rsidR="009C3DF2" w:rsidRPr="009C3DF2" w:rsidRDefault="009C3DF2" w:rsidP="009C3DF2">
      <w:pPr>
        <w:numPr>
          <w:ilvl w:val="0"/>
          <w:numId w:val="5"/>
        </w:numPr>
      </w:pPr>
      <w:r w:rsidRPr="009C3DF2">
        <w:t>Sage Science Pippin Prep instrument</w:t>
      </w:r>
    </w:p>
    <w:p w14:paraId="75924B80" w14:textId="77777777" w:rsidR="009C3DF2" w:rsidRPr="009C3DF2" w:rsidRDefault="009C3DF2" w:rsidP="009C3DF2">
      <w:pPr>
        <w:numPr>
          <w:ilvl w:val="0"/>
          <w:numId w:val="5"/>
        </w:numPr>
      </w:pPr>
      <w:r w:rsidRPr="009C3DF2">
        <w:t>Qubit 2.0</w:t>
      </w:r>
    </w:p>
    <w:p w14:paraId="08677067" w14:textId="77777777" w:rsidR="009C3DF2" w:rsidRPr="009C3DF2" w:rsidRDefault="009C3DF2" w:rsidP="009C3DF2">
      <w:pPr>
        <w:numPr>
          <w:ilvl w:val="0"/>
          <w:numId w:val="5"/>
        </w:numPr>
      </w:pPr>
      <w:r w:rsidRPr="009C3DF2">
        <w:t>Nanodrop</w:t>
      </w:r>
    </w:p>
    <w:p w14:paraId="034FDF7C" w14:textId="77777777" w:rsidR="009C3DF2" w:rsidRPr="009C3DF2" w:rsidRDefault="009C3DF2" w:rsidP="009C3DF2">
      <w:pPr>
        <w:numPr>
          <w:ilvl w:val="0"/>
          <w:numId w:val="5"/>
        </w:numPr>
      </w:pPr>
      <w:r w:rsidRPr="009C3DF2">
        <w:t>3 ABI 9700 thermocyclers</w:t>
      </w:r>
    </w:p>
    <w:p w14:paraId="2A3D5723" w14:textId="77777777" w:rsidR="009C3DF2" w:rsidRPr="009C3DF2" w:rsidRDefault="009C3DF2" w:rsidP="009C3DF2">
      <w:pPr>
        <w:numPr>
          <w:ilvl w:val="0"/>
          <w:numId w:val="5"/>
        </w:numPr>
      </w:pPr>
      <w:r w:rsidRPr="009C3DF2">
        <w:t>PCR hood</w:t>
      </w:r>
    </w:p>
    <w:p w14:paraId="0E44B150" w14:textId="77777777" w:rsidR="009C3DF2" w:rsidRPr="009C3DF2" w:rsidRDefault="009C3DF2" w:rsidP="009C3DF2">
      <w:pPr>
        <w:numPr>
          <w:ilvl w:val="0"/>
          <w:numId w:val="5"/>
        </w:numPr>
      </w:pPr>
      <w:r w:rsidRPr="009C3DF2">
        <w:t>3 sets of single channel pipets</w:t>
      </w:r>
    </w:p>
    <w:p w14:paraId="7C52FB23" w14:textId="77777777" w:rsidR="009C3DF2" w:rsidRPr="009C3DF2" w:rsidRDefault="009C3DF2" w:rsidP="009C3DF2">
      <w:pPr>
        <w:numPr>
          <w:ilvl w:val="0"/>
          <w:numId w:val="5"/>
        </w:numPr>
      </w:pPr>
      <w:r w:rsidRPr="009C3DF2">
        <w:t>1 set of multichannel pipets</w:t>
      </w:r>
    </w:p>
    <w:p w14:paraId="16796CF2" w14:textId="77777777" w:rsidR="009C3DF2" w:rsidRPr="009C3DF2" w:rsidRDefault="009C3DF2" w:rsidP="009C3DF2">
      <w:pPr>
        <w:numPr>
          <w:ilvl w:val="0"/>
          <w:numId w:val="5"/>
        </w:numPr>
      </w:pPr>
      <w:r w:rsidRPr="009C3DF2">
        <w:t>Large tabletop centrifuge</w:t>
      </w:r>
    </w:p>
    <w:p w14:paraId="4B5543E0" w14:textId="77777777" w:rsidR="009C3DF2" w:rsidRPr="009C3DF2" w:rsidRDefault="009C3DF2" w:rsidP="009C3DF2">
      <w:pPr>
        <w:numPr>
          <w:ilvl w:val="0"/>
          <w:numId w:val="5"/>
        </w:numPr>
      </w:pPr>
      <w:r w:rsidRPr="009C3DF2">
        <w:t xml:space="preserve">-80˚C freezer </w:t>
      </w:r>
    </w:p>
    <w:p w14:paraId="2119B88D" w14:textId="77777777" w:rsidR="009C3DF2" w:rsidRPr="009C3DF2" w:rsidRDefault="009C3DF2" w:rsidP="009C3DF2">
      <w:pPr>
        <w:numPr>
          <w:ilvl w:val="0"/>
          <w:numId w:val="5"/>
        </w:numPr>
      </w:pPr>
      <w:r w:rsidRPr="009C3DF2">
        <w:t>-20˚C freezer</w:t>
      </w:r>
    </w:p>
    <w:p w14:paraId="72C9BA55" w14:textId="77777777" w:rsidR="009C3DF2" w:rsidRPr="009C3DF2" w:rsidRDefault="009C3DF2" w:rsidP="009C3DF2">
      <w:pPr>
        <w:numPr>
          <w:ilvl w:val="0"/>
          <w:numId w:val="5"/>
        </w:numPr>
      </w:pPr>
      <w:r w:rsidRPr="009C3DF2">
        <w:lastRenderedPageBreak/>
        <w:t>4˚C fridge</w:t>
      </w:r>
    </w:p>
    <w:p w14:paraId="3FFE492A" w14:textId="1421B35F" w:rsidR="009C3DF2" w:rsidRDefault="009C3DF2" w:rsidP="009C3DF2">
      <w:pPr>
        <w:numPr>
          <w:ilvl w:val="0"/>
          <w:numId w:val="5"/>
        </w:numPr>
      </w:pPr>
      <w:r w:rsidRPr="009C3DF2">
        <w:t>6 microfuges</w:t>
      </w:r>
    </w:p>
    <w:p w14:paraId="6BEAFEDA" w14:textId="313FEC01" w:rsidR="009C3DF2" w:rsidRDefault="009C3DF2" w:rsidP="009C3DF2"/>
    <w:p w14:paraId="785B40D5" w14:textId="77777777" w:rsidR="009C3DF2" w:rsidRPr="009C3DF2" w:rsidRDefault="009C3DF2" w:rsidP="009C3DF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9C3DF2">
        <w:rPr>
          <w:b/>
          <w:bCs/>
          <w:u w:val="single"/>
        </w:rPr>
        <w:t>Consultations</w:t>
      </w:r>
    </w:p>
    <w:p w14:paraId="65810147" w14:textId="10121B65" w:rsidR="009C3DF2" w:rsidRDefault="009C3DF2" w:rsidP="009C3DF2">
      <w:pPr>
        <w:pStyle w:val="ListParagraph"/>
      </w:pPr>
      <w:r>
        <w:t xml:space="preserve">Consultations are available </w:t>
      </w:r>
      <w:r w:rsidRPr="009C3DF2">
        <w:t>for projects related to library prep protocols, overall sequencing strategy, etc.  This consultation will be limited in scope and will consist of directing users to the appropriate resources.</w:t>
      </w:r>
    </w:p>
    <w:p w14:paraId="55E2E5AB" w14:textId="4983AA17" w:rsidR="009C3DF2" w:rsidRDefault="009C3DF2" w:rsidP="009C3DF2">
      <w:pPr>
        <w:pStyle w:val="ListParagraph"/>
        <w:numPr>
          <w:ilvl w:val="0"/>
          <w:numId w:val="3"/>
        </w:numPr>
      </w:pPr>
      <w:r w:rsidRPr="00AB3962">
        <w:rPr>
          <w:b/>
          <w:bCs/>
        </w:rPr>
        <w:t>Pricing Breakdown</w:t>
      </w:r>
      <w:r>
        <w:t xml:space="preserve">: </w:t>
      </w:r>
    </w:p>
    <w:p w14:paraId="5C823CA5" w14:textId="307065C6" w:rsidR="009C3DF2" w:rsidRDefault="00172C6D" w:rsidP="00172C6D">
      <w:pPr>
        <w:pStyle w:val="ListParagraph"/>
        <w:numPr>
          <w:ilvl w:val="0"/>
          <w:numId w:val="9"/>
        </w:numPr>
      </w:pPr>
      <w:r>
        <w:t xml:space="preserve">Users are responsible for purchasing their own library quantification kit and sequencing kits. </w:t>
      </w:r>
    </w:p>
    <w:p w14:paraId="62FD266F" w14:textId="6E7EB948" w:rsidR="00172C6D" w:rsidRDefault="00172C6D" w:rsidP="00172C6D">
      <w:pPr>
        <w:pStyle w:val="ListParagraph"/>
        <w:numPr>
          <w:ilvl w:val="1"/>
          <w:numId w:val="9"/>
        </w:numPr>
      </w:pPr>
      <w:r>
        <w:t>Kapa Library Quantification Kit: [insert link]</w:t>
      </w:r>
    </w:p>
    <w:p w14:paraId="0E96F40C" w14:textId="0905E0B4" w:rsidR="00172C6D" w:rsidRDefault="00172C6D" w:rsidP="00172C6D">
      <w:pPr>
        <w:pStyle w:val="ListParagraph"/>
        <w:numPr>
          <w:ilvl w:val="1"/>
          <w:numId w:val="9"/>
        </w:numPr>
      </w:pPr>
      <w:r>
        <w:t>Illumina Sequencing Kit Pricelist for CSU: pdf attached</w:t>
      </w:r>
    </w:p>
    <w:p w14:paraId="76D7F95D" w14:textId="77777777" w:rsidR="00172C6D" w:rsidRPr="009C3DF2" w:rsidRDefault="00172C6D" w:rsidP="00172C6D">
      <w:pPr>
        <w:pStyle w:val="ListParagraph"/>
        <w:numPr>
          <w:ilvl w:val="0"/>
          <w:numId w:val="9"/>
        </w:numPr>
      </w:pPr>
      <w:r>
        <w:t xml:space="preserve">Run Fees: </w:t>
      </w:r>
    </w:p>
    <w:tbl>
      <w:tblPr>
        <w:tblStyle w:val="TableGrid"/>
        <w:tblW w:w="10359" w:type="dxa"/>
        <w:tblInd w:w="720" w:type="dxa"/>
        <w:tblLook w:val="04A0" w:firstRow="1" w:lastRow="0" w:firstColumn="1" w:lastColumn="0" w:noHBand="0" w:noVBand="1"/>
      </w:tblPr>
      <w:tblGrid>
        <w:gridCol w:w="2598"/>
        <w:gridCol w:w="2573"/>
        <w:gridCol w:w="2594"/>
        <w:gridCol w:w="2594"/>
      </w:tblGrid>
      <w:tr w:rsidR="00172C6D" w14:paraId="1CDEFDA2" w14:textId="77777777" w:rsidTr="000C767A">
        <w:trPr>
          <w:trHeight w:val="560"/>
        </w:trPr>
        <w:tc>
          <w:tcPr>
            <w:tcW w:w="2598" w:type="dxa"/>
          </w:tcPr>
          <w:p w14:paraId="0CE6A39F" w14:textId="4F13EFCC" w:rsidR="00172C6D" w:rsidRPr="00B020D7" w:rsidRDefault="00172C6D" w:rsidP="00172C6D">
            <w:pPr>
              <w:pStyle w:val="ListParagraph"/>
              <w:ind w:left="0"/>
              <w:rPr>
                <w:b/>
                <w:bCs/>
              </w:rPr>
            </w:pPr>
            <w:r w:rsidRPr="00B020D7">
              <w:rPr>
                <w:b/>
                <w:bCs/>
              </w:rPr>
              <w:t>Run Type</w:t>
            </w:r>
          </w:p>
        </w:tc>
        <w:tc>
          <w:tcPr>
            <w:tcW w:w="2573" w:type="dxa"/>
          </w:tcPr>
          <w:p w14:paraId="071FBF4A" w14:textId="254AC868" w:rsidR="00172C6D" w:rsidRPr="00B020D7" w:rsidRDefault="00172C6D" w:rsidP="00172C6D">
            <w:pPr>
              <w:pStyle w:val="ListParagraph"/>
              <w:ind w:left="0"/>
              <w:rPr>
                <w:b/>
                <w:bCs/>
              </w:rPr>
            </w:pPr>
            <w:r w:rsidRPr="00B020D7">
              <w:rPr>
                <w:b/>
                <w:bCs/>
              </w:rPr>
              <w:t>Internal User</w:t>
            </w:r>
          </w:p>
        </w:tc>
        <w:tc>
          <w:tcPr>
            <w:tcW w:w="2594" w:type="dxa"/>
          </w:tcPr>
          <w:p w14:paraId="67FA3A05" w14:textId="6F08FF1C" w:rsidR="00172C6D" w:rsidRPr="00B020D7" w:rsidRDefault="00172C6D" w:rsidP="00172C6D">
            <w:pPr>
              <w:pStyle w:val="ListParagraph"/>
              <w:ind w:left="0"/>
              <w:rPr>
                <w:b/>
                <w:bCs/>
              </w:rPr>
            </w:pPr>
            <w:r w:rsidRPr="00B020D7">
              <w:rPr>
                <w:b/>
                <w:bCs/>
              </w:rPr>
              <w:t>External Academic</w:t>
            </w:r>
          </w:p>
        </w:tc>
        <w:tc>
          <w:tcPr>
            <w:tcW w:w="2594" w:type="dxa"/>
          </w:tcPr>
          <w:p w14:paraId="0590BE3E" w14:textId="02CB5278" w:rsidR="00172C6D" w:rsidRPr="00B020D7" w:rsidRDefault="00172C6D" w:rsidP="00172C6D">
            <w:pPr>
              <w:pStyle w:val="ListParagraph"/>
              <w:ind w:left="0"/>
              <w:rPr>
                <w:b/>
                <w:bCs/>
              </w:rPr>
            </w:pPr>
            <w:r w:rsidRPr="00B020D7">
              <w:rPr>
                <w:b/>
                <w:bCs/>
              </w:rPr>
              <w:t>External Non</w:t>
            </w:r>
            <w:r w:rsidR="000C767A">
              <w:rPr>
                <w:b/>
                <w:bCs/>
              </w:rPr>
              <w:t>-</w:t>
            </w:r>
            <w:r w:rsidRPr="00B020D7">
              <w:rPr>
                <w:b/>
                <w:bCs/>
              </w:rPr>
              <w:t>Academic</w:t>
            </w:r>
          </w:p>
        </w:tc>
      </w:tr>
      <w:tr w:rsidR="00172C6D" w14:paraId="0CCE71F6" w14:textId="77777777" w:rsidTr="000C767A">
        <w:trPr>
          <w:trHeight w:val="280"/>
        </w:trPr>
        <w:tc>
          <w:tcPr>
            <w:tcW w:w="2598" w:type="dxa"/>
          </w:tcPr>
          <w:p w14:paraId="31B4F0AA" w14:textId="2E792AE8" w:rsidR="00172C6D" w:rsidRPr="00B020D7" w:rsidRDefault="00172C6D" w:rsidP="00172C6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B020D7">
              <w:rPr>
                <w:b/>
                <w:bCs/>
              </w:rPr>
              <w:t>MiSeq</w:t>
            </w:r>
            <w:proofErr w:type="spellEnd"/>
            <w:r w:rsidRPr="00B020D7">
              <w:rPr>
                <w:b/>
                <w:bCs/>
              </w:rPr>
              <w:t xml:space="preserve"> Nano</w:t>
            </w:r>
          </w:p>
        </w:tc>
        <w:tc>
          <w:tcPr>
            <w:tcW w:w="2573" w:type="dxa"/>
          </w:tcPr>
          <w:p w14:paraId="0581882C" w14:textId="31055AE5" w:rsidR="00172C6D" w:rsidRDefault="00172C6D" w:rsidP="00172C6D">
            <w:pPr>
              <w:pStyle w:val="ListParagraph"/>
              <w:ind w:left="0"/>
            </w:pPr>
            <w:r>
              <w:t>$100</w:t>
            </w:r>
          </w:p>
        </w:tc>
        <w:tc>
          <w:tcPr>
            <w:tcW w:w="2594" w:type="dxa"/>
          </w:tcPr>
          <w:p w14:paraId="5551AE5D" w14:textId="1786BE32" w:rsidR="00172C6D" w:rsidRDefault="00172C6D" w:rsidP="00172C6D">
            <w:pPr>
              <w:pStyle w:val="ListParagraph"/>
              <w:ind w:left="0"/>
            </w:pPr>
            <w:r>
              <w:t>$123</w:t>
            </w:r>
          </w:p>
        </w:tc>
        <w:tc>
          <w:tcPr>
            <w:tcW w:w="2594" w:type="dxa"/>
          </w:tcPr>
          <w:p w14:paraId="399B1055" w14:textId="0881B279" w:rsidR="00172C6D" w:rsidRDefault="00172C6D" w:rsidP="00172C6D">
            <w:pPr>
              <w:pStyle w:val="ListParagraph"/>
              <w:ind w:left="0"/>
            </w:pPr>
            <w:r>
              <w:t>$159</w:t>
            </w:r>
          </w:p>
        </w:tc>
      </w:tr>
      <w:tr w:rsidR="00172C6D" w14:paraId="40DB6151" w14:textId="77777777" w:rsidTr="000C767A">
        <w:trPr>
          <w:trHeight w:val="265"/>
        </w:trPr>
        <w:tc>
          <w:tcPr>
            <w:tcW w:w="2598" w:type="dxa"/>
          </w:tcPr>
          <w:p w14:paraId="66F69F1D" w14:textId="34284BDC" w:rsidR="00172C6D" w:rsidRPr="00B020D7" w:rsidRDefault="00172C6D" w:rsidP="00172C6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B020D7">
              <w:rPr>
                <w:b/>
                <w:bCs/>
              </w:rPr>
              <w:t>MiSeq</w:t>
            </w:r>
            <w:proofErr w:type="spellEnd"/>
          </w:p>
        </w:tc>
        <w:tc>
          <w:tcPr>
            <w:tcW w:w="2573" w:type="dxa"/>
          </w:tcPr>
          <w:p w14:paraId="1E4316F2" w14:textId="14AF8B34" w:rsidR="00172C6D" w:rsidRDefault="00172C6D" w:rsidP="00172C6D">
            <w:pPr>
              <w:pStyle w:val="ListParagraph"/>
              <w:ind w:left="0"/>
            </w:pPr>
            <w:r>
              <w:t>$200</w:t>
            </w:r>
          </w:p>
        </w:tc>
        <w:tc>
          <w:tcPr>
            <w:tcW w:w="2594" w:type="dxa"/>
          </w:tcPr>
          <w:p w14:paraId="0ED3FB9D" w14:textId="5D1E1E79" w:rsidR="00172C6D" w:rsidRDefault="00172C6D" w:rsidP="00172C6D">
            <w:pPr>
              <w:pStyle w:val="ListParagraph"/>
              <w:ind w:left="0"/>
            </w:pPr>
            <w:r>
              <w:t>$245</w:t>
            </w:r>
          </w:p>
        </w:tc>
        <w:tc>
          <w:tcPr>
            <w:tcW w:w="2594" w:type="dxa"/>
          </w:tcPr>
          <w:p w14:paraId="75686443" w14:textId="6051861E" w:rsidR="00172C6D" w:rsidRDefault="00172C6D" w:rsidP="00172C6D">
            <w:pPr>
              <w:pStyle w:val="ListParagraph"/>
              <w:ind w:left="0"/>
            </w:pPr>
            <w:r>
              <w:t>$319</w:t>
            </w:r>
          </w:p>
        </w:tc>
      </w:tr>
      <w:tr w:rsidR="00172C6D" w14:paraId="06223B3B" w14:textId="77777777" w:rsidTr="000C767A">
        <w:trPr>
          <w:trHeight w:val="280"/>
        </w:trPr>
        <w:tc>
          <w:tcPr>
            <w:tcW w:w="2598" w:type="dxa"/>
          </w:tcPr>
          <w:p w14:paraId="3B312762" w14:textId="4202BA60" w:rsidR="00172C6D" w:rsidRPr="00B020D7" w:rsidRDefault="00172C6D" w:rsidP="00172C6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B020D7">
              <w:rPr>
                <w:b/>
                <w:bCs/>
              </w:rPr>
              <w:t>NextSeq</w:t>
            </w:r>
            <w:proofErr w:type="spellEnd"/>
          </w:p>
        </w:tc>
        <w:tc>
          <w:tcPr>
            <w:tcW w:w="2573" w:type="dxa"/>
          </w:tcPr>
          <w:p w14:paraId="67C0B4F7" w14:textId="4D70600E" w:rsidR="00172C6D" w:rsidRDefault="00172C6D" w:rsidP="00172C6D">
            <w:pPr>
              <w:pStyle w:val="ListParagraph"/>
              <w:ind w:left="0"/>
            </w:pPr>
            <w:r>
              <w:t>$300</w:t>
            </w:r>
          </w:p>
        </w:tc>
        <w:tc>
          <w:tcPr>
            <w:tcW w:w="2594" w:type="dxa"/>
          </w:tcPr>
          <w:p w14:paraId="66EB43D1" w14:textId="36AEF780" w:rsidR="00172C6D" w:rsidRDefault="00172C6D" w:rsidP="00172C6D">
            <w:pPr>
              <w:pStyle w:val="ListParagraph"/>
              <w:ind w:left="0"/>
            </w:pPr>
            <w:r>
              <w:t>$368</w:t>
            </w:r>
          </w:p>
        </w:tc>
        <w:tc>
          <w:tcPr>
            <w:tcW w:w="2594" w:type="dxa"/>
          </w:tcPr>
          <w:p w14:paraId="6A958BD4" w14:textId="7844775B" w:rsidR="00172C6D" w:rsidRDefault="00172C6D" w:rsidP="00172C6D">
            <w:pPr>
              <w:pStyle w:val="ListParagraph"/>
              <w:ind w:left="0"/>
            </w:pPr>
            <w:r>
              <w:t>$478</w:t>
            </w:r>
          </w:p>
        </w:tc>
      </w:tr>
      <w:tr w:rsidR="00172C6D" w14:paraId="5B4EE013" w14:textId="77777777" w:rsidTr="000C767A">
        <w:trPr>
          <w:trHeight w:val="265"/>
        </w:trPr>
        <w:tc>
          <w:tcPr>
            <w:tcW w:w="2598" w:type="dxa"/>
          </w:tcPr>
          <w:p w14:paraId="6A46F988" w14:textId="695E690B" w:rsidR="00172C6D" w:rsidRPr="00B020D7" w:rsidRDefault="00172C6D" w:rsidP="00172C6D">
            <w:pPr>
              <w:pStyle w:val="ListParagraph"/>
              <w:ind w:left="0"/>
              <w:rPr>
                <w:b/>
                <w:bCs/>
              </w:rPr>
            </w:pPr>
            <w:r w:rsidRPr="00B020D7">
              <w:rPr>
                <w:b/>
                <w:bCs/>
              </w:rPr>
              <w:t>Oxford Nanopore</w:t>
            </w:r>
          </w:p>
        </w:tc>
        <w:tc>
          <w:tcPr>
            <w:tcW w:w="2573" w:type="dxa"/>
          </w:tcPr>
          <w:p w14:paraId="3FDFD1F7" w14:textId="721FD513" w:rsidR="00172C6D" w:rsidRDefault="00172C6D" w:rsidP="00172C6D">
            <w:pPr>
              <w:pStyle w:val="ListParagraph"/>
              <w:ind w:left="0"/>
            </w:pPr>
            <w:r>
              <w:t>$150</w:t>
            </w:r>
          </w:p>
        </w:tc>
        <w:tc>
          <w:tcPr>
            <w:tcW w:w="2594" w:type="dxa"/>
          </w:tcPr>
          <w:p w14:paraId="0886B85E" w14:textId="3658DCB3" w:rsidR="00172C6D" w:rsidRDefault="00172C6D" w:rsidP="00172C6D">
            <w:pPr>
              <w:pStyle w:val="ListParagraph"/>
              <w:ind w:left="0"/>
            </w:pPr>
            <w:r>
              <w:t>$184</w:t>
            </w:r>
          </w:p>
        </w:tc>
        <w:tc>
          <w:tcPr>
            <w:tcW w:w="2594" w:type="dxa"/>
          </w:tcPr>
          <w:p w14:paraId="335B9423" w14:textId="2B861482" w:rsidR="00172C6D" w:rsidRDefault="00172C6D" w:rsidP="00172C6D">
            <w:pPr>
              <w:pStyle w:val="ListParagraph"/>
              <w:ind w:left="0"/>
            </w:pPr>
            <w:r>
              <w:t>$239</w:t>
            </w:r>
          </w:p>
        </w:tc>
      </w:tr>
    </w:tbl>
    <w:p w14:paraId="418A0D2B" w14:textId="136A7A06" w:rsidR="00172C6D" w:rsidRPr="009C3DF2" w:rsidRDefault="00172C6D" w:rsidP="00B020D7"/>
    <w:p w14:paraId="68147D93" w14:textId="04397DEF" w:rsidR="00901428" w:rsidRDefault="00901428"/>
    <w:sectPr w:rsidR="00901428" w:rsidSect="00AC7E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D255E"/>
    <w:multiLevelType w:val="hybridMultilevel"/>
    <w:tmpl w:val="3C261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8337F"/>
    <w:multiLevelType w:val="hybridMultilevel"/>
    <w:tmpl w:val="F0B85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17609"/>
    <w:multiLevelType w:val="hybridMultilevel"/>
    <w:tmpl w:val="B7FA9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F4746"/>
    <w:multiLevelType w:val="hybridMultilevel"/>
    <w:tmpl w:val="B03C6792"/>
    <w:lvl w:ilvl="0" w:tplc="EA58F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C6403B"/>
    <w:multiLevelType w:val="hybridMultilevel"/>
    <w:tmpl w:val="9976D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72EA7"/>
    <w:multiLevelType w:val="hybridMultilevel"/>
    <w:tmpl w:val="17BA8D1C"/>
    <w:lvl w:ilvl="0" w:tplc="543049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D76EA"/>
    <w:multiLevelType w:val="hybridMultilevel"/>
    <w:tmpl w:val="5FDA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E7BDF"/>
    <w:multiLevelType w:val="hybridMultilevel"/>
    <w:tmpl w:val="BBDA101E"/>
    <w:lvl w:ilvl="0" w:tplc="4C42D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1570E1"/>
    <w:multiLevelType w:val="hybridMultilevel"/>
    <w:tmpl w:val="2F24F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28"/>
    <w:rsid w:val="000C767A"/>
    <w:rsid w:val="00104ABE"/>
    <w:rsid w:val="00172C6D"/>
    <w:rsid w:val="004C017D"/>
    <w:rsid w:val="00704C09"/>
    <w:rsid w:val="00780BBC"/>
    <w:rsid w:val="00901428"/>
    <w:rsid w:val="00933DF5"/>
    <w:rsid w:val="009C3DF2"/>
    <w:rsid w:val="00AB3962"/>
    <w:rsid w:val="00AC7E77"/>
    <w:rsid w:val="00B020D7"/>
    <w:rsid w:val="00B4197C"/>
    <w:rsid w:val="00DF29A2"/>
    <w:rsid w:val="00FD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E2B44"/>
  <w14:defaultImageDpi w14:val="32767"/>
  <w15:chartTrackingRefBased/>
  <w15:docId w15:val="{474CCDF5-DB39-EA42-A80C-C9C4AECB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14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2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ylee.Layton@colo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Kapuscinski,Marylee</dc:creator>
  <cp:keywords/>
  <dc:description/>
  <cp:lastModifiedBy>Kapuscinski,Marylee</cp:lastModifiedBy>
  <cp:revision>6</cp:revision>
  <dcterms:created xsi:type="dcterms:W3CDTF">2021-06-21T16:01:00Z</dcterms:created>
  <dcterms:modified xsi:type="dcterms:W3CDTF">2021-07-21T15:34:00Z</dcterms:modified>
</cp:coreProperties>
</file>