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2.3: Expressão Booleana (Forma SOP)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A paridade pode ser verificada com uma </w:t>
      </w:r>
      <w:r>
        <w:rPr>
          <w:rStyle w:val="Nfaseforte"/>
        </w:rPr>
        <w:t>XOR</w:t>
      </w:r>
      <w:r>
        <w:rPr/>
        <w:t xml:space="preserve"> em cadeia:</w:t>
      </w:r>
    </w:p>
    <w:p>
      <w:pPr>
        <w:pStyle w:val="Textoprformatado"/>
        <w:bidi w:val="0"/>
        <w:spacing w:before="0" w:after="0"/>
        <w:jc w:val="start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 = D3 ⊕ D2 ⊕ D1 ⊕ D0 ⊕ P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27</Words>
  <Characters>96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2025-07-04T19:31:08Z</dcterms:created>
  <dc:creator/>
  <dc:description/>
  <dc:language>pt-BR</dc:language>
  <cp:lastModifiedBy/>
  <dcterms:modified xsi:type="dcterms:W3CDTF">2025-07-04T19:31:29Z</dcterms:modified>
  <cp:revision>1</cp:revision>
  <dc:subject/>
  <dc:title/>
</cp:coreProperties>
</file>