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8B1E1E"/>
          <w:sz w:val="40"/>
          <w:szCs w:val="40"/>
        </w:rPr>
        <w:t xml:space="preserve">RELATÓRIO DE ANÁLISE TRIBUTÁRIA</w:t>
      </w:r>
    </w:p>
    <w:p>
      <w:pPr>
        <w:spacing w:before="300"/>
        <w:jc w:val="center"/>
      </w:pPr>
      <w:r>
        <w:rPr>
          <w:rFonts w:ascii="Calibri" w:cs="Calibri" w:eastAsia="Calibri" w:hAnsi="Calibri"/>
          <w:b/>
          <w:bCs/>
          <w:sz w:val="32"/>
          <w:szCs w:val="32"/>
        </w:rPr>
        <w:t xml:space="preserve">Lava Rápido Nogueira</w:t>
      </w:r>
    </w:p>
    <w:p>
      <w:pPr>
        <w:spacing w:before="150"/>
        <w:jc w:val="center"/>
      </w:pPr>
      <w:r>
        <w:rPr>
          <w:rFonts w:ascii="Calibri" w:cs="Calibri" w:eastAsia="Calibri" w:hAnsi="Calibri"/>
          <w:color w:val="666666"/>
          <w:sz w:val="24"/>
          <w:szCs w:val="24"/>
        </w:rPr>
        <w:t xml:space="preserve">Moema, São Paulo/SP</w:t>
      </w:r>
    </w:p>
    <w:p>
      <w:pPr>
        <w:spacing w:before="800"/>
        <w:jc w:val="center"/>
      </w:pPr>
      <w:r>
        <w:rPr>
          <w:rFonts w:ascii="Calibri" w:cs="Calibri" w:eastAsia="Calibri" w:hAnsi="Calibri"/>
          <w:i/>
          <w:iCs/>
          <w:sz w:val="24"/>
          <w:szCs w:val="24"/>
        </w:rPr>
        <w:t xml:space="preserve">Documento preparado para: Claudemir Nogueira</w:t>
      </w:r>
    </w:p>
    <w:p>
      <w:pPr>
        <w:spacing w:before="100"/>
        <w:jc w:val="center"/>
      </w:pPr>
      <w:r>
        <w:rPr>
          <w:rFonts w:ascii="Calibri" w:cs="Calibri" w:eastAsia="Calibri" w:hAnsi="Calibri"/>
          <w:i/>
          <w:iCs/>
          <w:color w:val="888888"/>
          <w:sz w:val="20"/>
          <w:szCs w:val="20"/>
        </w:rPr>
        <w:t xml:space="preserve">Caráter exclusivamente analítico e consultivo</w:t>
      </w:r>
    </w:p>
    <w:p>
      <w:r>
        <w:br w:type="page"/>
      </w:r>
    </w:p>
    <w:p>
      <w:pPr>
        <w:pStyle w:val="Heading1"/>
        <w:spacing w:after="200" w:before="400"/>
      </w:pPr>
      <w:r>
        <w:rPr>
          <w:rFonts w:ascii="Calibri" w:cs="Calibri" w:eastAsia="Calibri" w:hAnsi="Calibri"/>
          <w:b/>
          <w:bCs/>
          <w:color w:val="8B1E1E"/>
          <w:sz w:val="32"/>
          <w:szCs w:val="32"/>
        </w:rPr>
        <w:t xml:space="preserve">1. Introdução</w:t>
      </w:r>
    </w:p>
    <w:p>
      <w:pPr>
        <w:pStyle w:val="Heading2"/>
        <w:spacing w:after="150" w:before="300"/>
      </w:pPr>
      <w:r>
        <w:rPr>
          <w:rFonts w:ascii="Calibri" w:cs="Calibri" w:eastAsia="Calibri" w:hAnsi="Calibri"/>
          <w:b/>
          <w:bCs/>
          <w:color w:val="444444"/>
          <w:sz w:val="26"/>
          <w:szCs w:val="26"/>
        </w:rPr>
        <w:t xml:space="preserve">1.1 O negócio</w:t>
      </w:r>
    </w:p>
    <w:p>
      <w:pPr>
        <w:spacing w:after="200" w:line="276"/>
        <w:jc w:val="both"/>
      </w:pPr>
      <w:r>
        <w:rPr>
          <w:rFonts w:ascii="Calibri" w:cs="Calibri" w:eastAsia="Calibri" w:hAnsi="Calibri"/>
          <w:b w:val="false"/>
          <w:bCs w:val="false"/>
          <w:i w:val="false"/>
          <w:iCs w:val="false"/>
          <w:color w:val="000000"/>
          <w:sz w:val="24"/>
          <w:szCs w:val="24"/>
        </w:rPr>
        <w:t xml:space="preserve">O Lava Rápido Nogueira é uma operação de estética automotiva de médio porte, com mais de vinte anos de atuação e um único ponto de venda, localizado no bairro de Moema, na cidade de São Paulo. Ao longo desse período, o negócio construiu sua reputação pela qualidade da lavagem e pela fidelidade de clientes de longa data.</w:t>
      </w:r>
    </w:p>
    <w:p>
      <w:pPr>
        <w:spacing w:after="200" w:line="276"/>
        <w:jc w:val="both"/>
      </w:pPr>
      <w:r>
        <w:rPr>
          <w:rFonts w:ascii="Calibri" w:cs="Calibri" w:eastAsia="Calibri" w:hAnsi="Calibri"/>
          <w:b w:val="false"/>
          <w:bCs w:val="false"/>
          <w:i w:val="false"/>
          <w:iCs w:val="false"/>
          <w:color w:val="000000"/>
          <w:sz w:val="24"/>
          <w:szCs w:val="24"/>
        </w:rPr>
        <w:t xml:space="preserve">Nos últimos anos, no entanto, esse cenário vem se transformando. Mudanças no perfil do bairro, o surgimento de novos formatos de concorrência (como lava-rápidos expressos e franquias) e a consequente queda no fluxo de clientes vêm pressionando o resultado da empresa, que hoje enfrenta uma fase de aperto financeiro.</w:t>
      </w:r>
    </w:p>
    <w:p>
      <w:pPr>
        <w:spacing w:after="200" w:line="276"/>
        <w:jc w:val="both"/>
      </w:pPr>
      <w:r>
        <w:rPr>
          <w:rFonts w:ascii="Calibri" w:cs="Calibri" w:eastAsia="Calibri" w:hAnsi="Calibri"/>
          <w:b w:val="false"/>
          <w:bCs w:val="false"/>
          <w:i w:val="false"/>
          <w:iCs w:val="false"/>
          <w:color w:val="000000"/>
          <w:sz w:val="24"/>
          <w:szCs w:val="24"/>
        </w:rPr>
        <w:t xml:space="preserve">Esse contexto é relevante para a análise tributária por um motivo direto: a carga de tributos de uma empresa depende diretamente do seu faturamento e do seu regime de apuração. Uma empresa em fase de queda de receita pode, inclusive, estar pagando mais imposto do que precisaria dentro do próprio regime em que já se encontra — ou pode estar no regime errado para o momento atual do negócio. Por isso, antes de qualquer recomendação, a análise tributária precisa partir de dados concretos e atualizados da operação.</w:t>
      </w:r>
    </w:p>
    <w:p>
      <w:pPr>
        <w:pStyle w:val="Heading2"/>
        <w:spacing w:after="150" w:before="300"/>
      </w:pPr>
      <w:r>
        <w:rPr>
          <w:rFonts w:ascii="Calibri" w:cs="Calibri" w:eastAsia="Calibri" w:hAnsi="Calibri"/>
          <w:b/>
          <w:bCs/>
          <w:color w:val="444444"/>
          <w:sz w:val="26"/>
          <w:szCs w:val="26"/>
        </w:rPr>
        <w:t xml:space="preserve">1.2 Cenário tributário atual</w:t>
      </w:r>
    </w:p>
    <w:p>
      <w:pPr>
        <w:spacing w:after="200" w:line="276"/>
        <w:jc w:val="both"/>
      </w:pPr>
      <w:r>
        <w:rPr>
          <w:rFonts w:ascii="Calibri" w:cs="Calibri" w:eastAsia="Calibri" w:hAnsi="Calibri"/>
          <w:b w:val="false"/>
          <w:bCs w:val="false"/>
          <w:i w:val="false"/>
          <w:iCs w:val="false"/>
          <w:color w:val="000000"/>
          <w:sz w:val="24"/>
          <w:szCs w:val="24"/>
        </w:rPr>
        <w:t xml:space="preserve">Com base no balanço patrimonial da empresa, dois pontos já estão confirmados: a empresa é atualmente optante do Simples Nacional (há uma conta de passivo "Simples Nacional a Recolher" em todos os exercícios analisados) e sua receita bruta vem em trajetória de queda constante, atingindo R$ 328.251 em 2025 — muito abaixo do teto de R$ 4,8 milhões do regime. A empresa também vem registrando resultado líquido negativo (prejuízo) na maior parte dos últimos seis exercícios, incluindo 2025 e o primeiro semestre de 2026, o que é o dado mais relevante para a análise comparativa da Seção 2.</w:t>
      </w:r>
    </w:p>
    <w:p>
      <w:pPr>
        <w:spacing w:after="200" w:line="276"/>
        <w:jc w:val="both"/>
      </w:pPr>
      <w:r>
        <w:rPr>
          <w:rFonts w:ascii="Calibri" w:cs="Calibri" w:eastAsia="Calibri" w:hAnsi="Calibri"/>
          <w:b w:val="false"/>
          <w:bCs w:val="false"/>
          <w:i w:val="false"/>
          <w:iCs w:val="false"/>
          <w:color w:val="000000"/>
          <w:sz w:val="24"/>
          <w:szCs w:val="24"/>
        </w:rPr>
        <w:t xml:space="preserve">Dois dados ainda faltam para fechar a análise com precisão total: a composição da folha de pagamento dos últimos 12 meses, necessária para calcular o "Fator R" (proporção entre folha e receita bruta) e determinar em qual Anexo do Simples Nacional a empresa se enquadraria — Anexo III, mais vantajoso, ou Anexo V —, e a confirmação do CNAE (Classificação Nacional de Atividades Econômicas) exato sob o qual a empresa está registrada, que também influencia esse enquadramento.</w:t>
      </w:r>
    </w:p>
    <w:p>
      <w:pPr>
        <w:pBdr>
          <w:top w:val="single" w:color="8B1E1E" w:sz="6"/>
          <w:bottom w:val="single" w:color="8B1E1E" w:sz="6"/>
          <w:left w:val="single" w:color="8B1E1E" w:sz="6"/>
          <w:right w:val="single" w:color="8B1E1E" w:sz="6"/>
        </w:pBdr>
        <w:shd w:fill="F5E6E6" w:val="clear"/>
        <w:spacing w:after="300" w:before="150"/>
      </w:pPr>
      <w:r>
        <w:rPr>
          <w:rFonts w:ascii="Calibri" w:cs="Calibri" w:eastAsia="Calibri" w:hAnsi="Calibri"/>
          <w:b/>
          <w:bCs/>
          <w:color w:val="8B1E1E"/>
          <w:sz w:val="24"/>
          <w:szCs w:val="24"/>
        </w:rPr>
        <w:t xml:space="preserve">PONTO EM ABERTO: </w:t>
      </w:r>
      <w:r>
        <w:rPr>
          <w:rFonts w:ascii="Calibri" w:cs="Calibri" w:eastAsia="Calibri" w:hAnsi="Calibri"/>
          <w:i/>
          <w:iCs/>
          <w:sz w:val="24"/>
          <w:szCs w:val="24"/>
        </w:rPr>
        <w:t xml:space="preserve">Este relatório será atualizado assim que os seguintes dados forem levantados junto ao cliente: (i) percentual de participação de Claudemir na outra empresa da qual é sócio (ver Seção 2.1) — determina se o Simples Nacional continua disponível; (ii) folha de pagamento dos últimos 12 meses (Fator R); (iii) CNAE cadastrado. Até lá, a recomendação final apresentada na Seção 2.5 permanece preliminar.</w:t>
      </w:r>
    </w:p>
    <w:p>
      <w:pPr>
        <w:pStyle w:val="Heading1"/>
        <w:spacing w:after="200" w:before="400"/>
      </w:pPr>
      <w:r>
        <w:rPr>
          <w:rFonts w:ascii="Calibri" w:cs="Calibri" w:eastAsia="Calibri" w:hAnsi="Calibri"/>
          <w:b/>
          <w:bCs/>
          <w:color w:val="8B1E1E"/>
          <w:sz w:val="32"/>
          <w:szCs w:val="32"/>
        </w:rPr>
        <w:t xml:space="preserve">2. Comparativo de Regimes Tributários e Recomendação</w:t>
      </w:r>
    </w:p>
    <w:p>
      <w:pPr>
        <w:pStyle w:val="Heading2"/>
        <w:spacing w:after="150" w:before="300"/>
      </w:pPr>
      <w:r>
        <w:rPr>
          <w:rFonts w:ascii="Calibri" w:cs="Calibri" w:eastAsia="Calibri" w:hAnsi="Calibri"/>
          <w:b/>
          <w:bCs/>
          <w:color w:val="444444"/>
          <w:sz w:val="26"/>
          <w:szCs w:val="26"/>
        </w:rPr>
        <w:t xml:space="preserve">2.1 Situação atual e vedação identificada</w:t>
      </w:r>
    </w:p>
    <w:p>
      <w:pPr>
        <w:spacing w:after="200" w:line="276"/>
        <w:jc w:val="both"/>
      </w:pPr>
      <w:r>
        <w:rPr>
          <w:rFonts w:ascii="Calibri" w:cs="Calibri" w:eastAsia="Calibri" w:hAnsi="Calibri"/>
          <w:b w:val="false"/>
          <w:bCs w:val="false"/>
          <w:i w:val="false"/>
          <w:iCs w:val="false"/>
          <w:color w:val="000000"/>
          <w:sz w:val="24"/>
          <w:szCs w:val="24"/>
        </w:rPr>
        <w:t xml:space="preserve">O balanço patrimonial da empresa registra, em todos os exercícios analisados (2015 a 1S2026), uma conta de passivo circulante intitulada "Simples Nacional a Recolher", e o próprio cliente confirmou, em ligação de acompanhamento, que o Lava Rápido Nogueira está atualmente no Simples Nacional.</w:t>
      </w:r>
    </w:p>
    <w:p>
      <w:pPr>
        <w:spacing w:after="200" w:line="276"/>
        <w:jc w:val="both"/>
      </w:pPr>
      <w:r>
        <w:rPr>
          <w:rFonts w:ascii="Calibri" w:cs="Calibri" w:eastAsia="Calibri" w:hAnsi="Calibri"/>
          <w:b w:val="false"/>
          <w:bCs w:val="false"/>
          <w:i w:val="false"/>
          <w:iCs w:val="false"/>
          <w:color w:val="000000"/>
          <w:sz w:val="24"/>
          <w:szCs w:val="24"/>
        </w:rPr>
        <w:t xml:space="preserve">Na mesma ligação, contudo, surgiu uma informação que muda a análise: Claudemir é sócio de uma segunda empresa, de ramo distinto do lava-rápido, com faturamento de aproximadamente R$ 6.000.000,00 por ano. Essa informação é juridicamente relevante porque o art. 3º, §4º, inciso IV da LC 123/2006 exclui do Simples Nacional o titular ou sócio que participe com mais de 10% do capital de outra empresa não beneficiada pelo regime, desde que a receita bruta global das duas empresas ultrapasse o limite de R$ 4.800.000,00.</w:t>
      </w:r>
    </w:p>
    <w:p>
      <w:pPr>
        <w:spacing w:after="200" w:line="276"/>
        <w:jc w:val="both"/>
      </w:pPr>
      <w:r>
        <w:rPr>
          <w:rFonts w:ascii="Calibri" w:cs="Calibri" w:eastAsia="Calibri" w:hAnsi="Calibri"/>
          <w:b w:val="false"/>
          <w:bCs w:val="false"/>
          <w:i w:val="false"/>
          <w:iCs w:val="false"/>
          <w:color w:val="000000"/>
          <w:sz w:val="24"/>
          <w:szCs w:val="24"/>
        </w:rPr>
        <w:t xml:space="preserve">Como a outra empresa fatura sozinha cerca de R$ 6 milhões — já acima do teto do Simples —, ela não pode ser optante do regime. Somando sua receita à do lava-rápido, o limite de R$ 4,8 milhões é ultrapassado com folga. Se a participação societária de Claudemir nessa outra empresa for superior a 10% do capital, o Lava Rápido Nogueira está tecnicamente desenquadrado do Simples Nacional por este critério — independentemente de sua receita individual estar bem abaixo do teto.</w:t>
      </w:r>
    </w:p>
    <w:p>
      <w:pPr>
        <w:pBdr>
          <w:top w:val="single" w:color="8B1E1E" w:sz="6"/>
          <w:bottom w:val="single" w:color="8B1E1E" w:sz="6"/>
          <w:left w:val="single" w:color="8B1E1E" w:sz="6"/>
          <w:right w:val="single" w:color="8B1E1E" w:sz="6"/>
        </w:pBdr>
        <w:shd w:fill="F5E6E6" w:val="clear"/>
        <w:spacing w:after="300" w:before="150"/>
      </w:pPr>
      <w:r>
        <w:rPr>
          <w:rFonts w:ascii="Calibri" w:cs="Calibri" w:eastAsia="Calibri" w:hAnsi="Calibri"/>
          <w:b/>
          <w:bCs/>
          <w:color w:val="8B1E1E"/>
          <w:sz w:val="24"/>
          <w:szCs w:val="24"/>
        </w:rPr>
        <w:t xml:space="preserve">PONTO EM ABERTO: </w:t>
      </w:r>
      <w:r>
        <w:rPr>
          <w:rFonts w:ascii="Calibri" w:cs="Calibri" w:eastAsia="Calibri" w:hAnsi="Calibri"/>
          <w:i/>
          <w:iCs/>
          <w:sz w:val="24"/>
          <w:szCs w:val="24"/>
        </w:rPr>
        <w:t xml:space="preserve">Falta confirmar o percentual exato de participação de Claudemir na outra empresa. Se for igual ou inferior a 10%, a vedação do art. 3º, §4º, IV não se aplica e o Simples Nacional permanece disponível. Se for superior a 10%, a empresa precisa migrar para Lucro Presumido ou Lucro Real. Esse dado deve ser solicitado ao cliente antes de finalizar a recomendação desta seção. (Nota: a justificativa anteriormente descartada — de que a exclusão decorreria de o lava-rápido prestar serviço a outra empresa no leilão do Gustavo Gazel — continua incorreta e sem base legal; a vedação real é de natureza societária, não comercial.)</w:t>
      </w:r>
    </w:p>
    <w:p>
      <w:pPr>
        <w:pStyle w:val="Heading2"/>
        <w:spacing w:after="150" w:before="300"/>
      </w:pPr>
      <w:r>
        <w:rPr>
          <w:rFonts w:ascii="Calibri" w:cs="Calibri" w:eastAsia="Calibri" w:hAnsi="Calibri"/>
          <w:b/>
          <w:bCs/>
          <w:color w:val="444444"/>
          <w:sz w:val="26"/>
          <w:szCs w:val="26"/>
        </w:rPr>
        <w:t xml:space="preserve">2.2 Critérios de enquadramento — Simples Nacional</w:t>
      </w:r>
    </w:p>
    <w:p>
      <w:pPr>
        <w:pStyle w:val="ListParagraph"/>
        <w:numPr>
          <w:ilvl w:val="0"/>
          <w:numId w:val="1"/>
        </w:numPr>
        <w:spacing w:after="120"/>
      </w:pPr>
      <w:r>
        <w:rPr>
          <w:rFonts w:ascii="Calibri" w:cs="Calibri" w:eastAsia="Calibri" w:hAnsi="Calibri"/>
          <w:sz w:val="24"/>
          <w:szCs w:val="24"/>
        </w:rPr>
        <w:t xml:space="preserve">Receita bruta acumulada nos últimos 12 meses igual ou inferior a R$ 4.800.000,00.</w:t>
      </w:r>
    </w:p>
    <w:p>
      <w:pPr>
        <w:pStyle w:val="ListParagraph"/>
        <w:numPr>
          <w:ilvl w:val="0"/>
          <w:numId w:val="1"/>
        </w:numPr>
        <w:spacing w:after="120"/>
      </w:pPr>
      <w:r>
        <w:rPr>
          <w:rFonts w:ascii="Calibri" w:cs="Calibri" w:eastAsia="Calibri" w:hAnsi="Calibri"/>
          <w:sz w:val="24"/>
          <w:szCs w:val="24"/>
        </w:rPr>
        <w:t xml:space="preserve">Não incorrer nas vedações do art. 3º, §4º da LC 123/2006: ter outra pessoa jurídica como sócia; participar do capital de outra PJ; ter sócio residente no exterior; ser constituída como sociedade por ações (S/A).</w:t>
      </w:r>
    </w:p>
    <w:p>
      <w:pPr>
        <w:pStyle w:val="ListParagraph"/>
        <w:numPr>
          <w:ilvl w:val="0"/>
          <w:numId w:val="1"/>
        </w:numPr>
        <w:spacing w:after="120"/>
      </w:pPr>
      <w:r>
        <w:rPr>
          <w:rFonts w:ascii="Calibri" w:cs="Calibri" w:eastAsia="Calibri" w:hAnsi="Calibri"/>
          <w:sz w:val="24"/>
          <w:szCs w:val="24"/>
        </w:rPr>
        <w:t xml:space="preserve">Não exercer atividade vedada pelo art. 17 (instituições financeiras, factoring, incorporação/loteamento de imóveis, geração de energia, cessão de mão de obra fora das exceções do Anexo IV, fabricação de veículos/combustíveis/armas).</w:t>
      </w:r>
    </w:p>
    <w:p>
      <w:pPr>
        <w:pStyle w:val="ListParagraph"/>
        <w:numPr>
          <w:ilvl w:val="0"/>
          <w:numId w:val="1"/>
        </w:numPr>
        <w:spacing w:after="120"/>
      </w:pPr>
      <w:r>
        <w:rPr>
          <w:rFonts w:ascii="Calibri" w:cs="Calibri" w:eastAsia="Calibri" w:hAnsi="Calibri"/>
          <w:sz w:val="24"/>
          <w:szCs w:val="24"/>
        </w:rPr>
        <w:t xml:space="preserve">Não possuir débitos com o INSS ou com as Fazendas Públicas sem exigibilidade suspensa.</w:t>
      </w:r>
    </w:p>
    <w:p>
      <w:pPr>
        <w:spacing w:after="200" w:line="276"/>
        <w:jc w:val="both"/>
      </w:pPr>
      <w:r>
        <w:rPr>
          <w:rFonts w:ascii="Calibri" w:cs="Calibri" w:eastAsia="Calibri" w:hAnsi="Calibri"/>
          <w:b w:val="false"/>
          <w:bCs w:val="false"/>
          <w:i w:val="false"/>
          <w:iCs w:val="false"/>
          <w:color w:val="000000"/>
          <w:sz w:val="24"/>
          <w:szCs w:val="24"/>
        </w:rPr>
        <w:t xml:space="preserve">A atividade de estética automotiva (lavagem e preparação de veículos) não consta entre as atividades vedadas. Com receita bruta de R$ 328.251 em 2025 — muito abaixo do teto — e sem indício, nos dados financeiros disponíveis, de vedação societária ou de débito fiscal em aberto, a empresa permanece apta a continuar no Simples Nacional pelo critério de receita e atividade.</w:t>
      </w:r>
    </w:p>
    <w:p>
      <w:pPr>
        <w:pStyle w:val="Heading2"/>
        <w:spacing w:after="150" w:before="300"/>
      </w:pPr>
      <w:r>
        <w:rPr>
          <w:rFonts w:ascii="Calibri" w:cs="Calibri" w:eastAsia="Calibri" w:hAnsi="Calibri"/>
          <w:b/>
          <w:bCs/>
          <w:color w:val="444444"/>
          <w:sz w:val="26"/>
          <w:szCs w:val="26"/>
        </w:rPr>
        <w:t xml:space="preserve">2.3 Critérios de enquadramento — Lucro Presumido</w:t>
      </w:r>
    </w:p>
    <w:p>
      <w:pPr>
        <w:pStyle w:val="ListParagraph"/>
        <w:numPr>
          <w:ilvl w:val="0"/>
          <w:numId w:val="1"/>
        </w:numPr>
        <w:spacing w:after="120"/>
      </w:pPr>
      <w:r>
        <w:rPr>
          <w:rFonts w:ascii="Calibri" w:cs="Calibri" w:eastAsia="Calibri" w:hAnsi="Calibri"/>
          <w:sz w:val="24"/>
          <w:szCs w:val="24"/>
        </w:rPr>
        <w:t xml:space="preserve">Receita bruta total no ano-calendário anterior igual ou inferior a R$ 78.000.000,00 (ou R$ 6,5 milhões multiplicado pelo número de meses de atividade, se inferior a 12 meses).</w:t>
      </w:r>
    </w:p>
    <w:p>
      <w:pPr>
        <w:pStyle w:val="ListParagraph"/>
        <w:numPr>
          <w:ilvl w:val="0"/>
          <w:numId w:val="1"/>
        </w:numPr>
        <w:spacing w:after="120"/>
      </w:pPr>
      <w:r>
        <w:rPr>
          <w:rFonts w:ascii="Calibri" w:cs="Calibri" w:eastAsia="Calibri" w:hAnsi="Calibri"/>
          <w:sz w:val="24"/>
          <w:szCs w:val="24"/>
        </w:rPr>
        <w:t xml:space="preserve">Não se enquadrar nas vedações do regime: bancos, instituições financeiras, sociedades de crédito ou factoring; empresas que usufruam de isenção/redução de IRPJ; empresas que explorem securitização de créditos; empresas obrigadas ao Lucro Real por outros critérios legais.</w:t>
      </w:r>
    </w:p>
    <w:p>
      <w:pPr>
        <w:spacing w:after="200" w:line="276"/>
        <w:jc w:val="both"/>
      </w:pPr>
      <w:r>
        <w:rPr>
          <w:rFonts w:ascii="Calibri" w:cs="Calibri" w:eastAsia="Calibri" w:hAnsi="Calibri"/>
          <w:b w:val="false"/>
          <w:bCs w:val="false"/>
          <w:i w:val="false"/>
          <w:iCs w:val="false"/>
          <w:color w:val="000000"/>
          <w:sz w:val="24"/>
          <w:szCs w:val="24"/>
        </w:rPr>
        <w:t xml:space="preserve">Pelo teto de receita e pela atividade, o Lava Rápido Nogueira também se enquadraria formalmente no Lucro Presumido. Não há, nos dados disponíveis, nenhuma vedação legal que impeça a opção — ao contrário do que foi apontado anteriormente, dívida não é critério de vedação para este regime.</w:t>
      </w:r>
    </w:p>
    <w:p>
      <w:pPr>
        <w:pStyle w:val="Heading2"/>
        <w:spacing w:after="150" w:before="300"/>
      </w:pPr>
      <w:r>
        <w:rPr>
          <w:rFonts w:ascii="Calibri" w:cs="Calibri" w:eastAsia="Calibri" w:hAnsi="Calibri"/>
          <w:b/>
          <w:bCs/>
          <w:color w:val="444444"/>
          <w:sz w:val="26"/>
          <w:szCs w:val="26"/>
        </w:rPr>
        <w:t xml:space="preserve">2.4 Critérios de enquadramento — Lucro Real</w:t>
      </w:r>
    </w:p>
    <w:p>
      <w:pPr>
        <w:pStyle w:val="ListParagraph"/>
        <w:numPr>
          <w:ilvl w:val="0"/>
          <w:numId w:val="1"/>
        </w:numPr>
        <w:spacing w:after="120"/>
      </w:pPr>
      <w:r>
        <w:rPr>
          <w:rFonts w:ascii="Calibri" w:cs="Calibri" w:eastAsia="Calibri" w:hAnsi="Calibri"/>
          <w:sz w:val="24"/>
          <w:szCs w:val="24"/>
        </w:rPr>
        <w:t xml:space="preserve">É o regime regra geral: qualquer empresa pode optar por ele, independentemente de porte ou receita.</w:t>
      </w:r>
    </w:p>
    <w:p>
      <w:pPr>
        <w:pStyle w:val="ListParagraph"/>
        <w:numPr>
          <w:ilvl w:val="0"/>
          <w:numId w:val="1"/>
        </w:numPr>
        <w:spacing w:after="120"/>
      </w:pPr>
      <w:r>
        <w:rPr>
          <w:rFonts w:ascii="Calibri" w:cs="Calibri" w:eastAsia="Calibri" w:hAnsi="Calibri"/>
          <w:sz w:val="24"/>
          <w:szCs w:val="24"/>
        </w:rPr>
        <w:t xml:space="preserve">Torna-se obrigatório para: bancos e instituições financeiras; empresas que usufruam de benefícios fiscais de isenção/redução do IRPJ; empresas que explorem securitização de créditos; empresas com receita bruta total no ano-calendário anterior superior a R$ 78.000.000,00; empresas com sócios/acionistas domiciliados no exterior em certos casos; empresas com parcelamento de tributos federais condicionado ao Lucro Real.</w:t>
      </w:r>
    </w:p>
    <w:p>
      <w:pPr>
        <w:spacing w:after="200" w:line="276"/>
        <w:jc w:val="both"/>
      </w:pPr>
      <w:r>
        <w:rPr>
          <w:rFonts w:ascii="Calibri" w:cs="Calibri" w:eastAsia="Calibri" w:hAnsi="Calibri"/>
          <w:b w:val="false"/>
          <w:bCs w:val="false"/>
          <w:i w:val="false"/>
          <w:iCs w:val="false"/>
          <w:color w:val="000000"/>
          <w:sz w:val="24"/>
          <w:szCs w:val="24"/>
        </w:rPr>
        <w:t xml:space="preserve">O Lava Rápido Nogueira não se enquadra em nenhuma dessas hipóteses de obrigatoriedade — ou seja, a migração para o Lucro Real, se recomendada, seria uma opção voluntária, não uma exigência legal.</w:t>
      </w:r>
    </w:p>
    <w:p>
      <w:pPr>
        <w:pStyle w:val="Heading2"/>
        <w:spacing w:after="150" w:before="300"/>
      </w:pPr>
      <w:r>
        <w:rPr>
          <w:rFonts w:ascii="Calibri" w:cs="Calibri" w:eastAsia="Calibri" w:hAnsi="Calibri"/>
          <w:b/>
          <w:bCs/>
          <w:color w:val="444444"/>
          <w:sz w:val="26"/>
          <w:szCs w:val="26"/>
        </w:rPr>
        <w:t xml:space="preserve">2.5 Onde a empresa se posiciona, com base nos dados financeiros</w:t>
      </w:r>
    </w:p>
    <w:p>
      <w:pPr>
        <w:spacing w:after="200" w:line="276"/>
        <w:jc w:val="both"/>
      </w:pPr>
      <w:r>
        <w:rPr>
          <w:rFonts w:ascii="Calibri" w:cs="Calibri" w:eastAsia="Calibri" w:hAnsi="Calibri"/>
          <w:b w:val="false"/>
          <w:bCs w:val="false"/>
          <w:i w:val="false"/>
          <w:iCs w:val="false"/>
          <w:color w:val="000000"/>
          <w:sz w:val="24"/>
          <w:szCs w:val="24"/>
        </w:rPr>
        <w:t xml:space="preserve">O enquadramento no Lucro Presumido e no Lucro Real segue formalmente disponível: nenhuma das vedações desses dois regimes (listadas nas Seções 2.3 e 2.4) foi identificada nos dados analisados. Já a permanência no Simples Nacional passou a depender de um único dado pendente — o percentual de participação de Claudemir na outra empresa, discutido na Seção 2.1. Por isso, a análise abaixo é apresentada em dois cenários.</w:t>
      </w:r>
    </w:p>
    <w:p>
      <w:pPr>
        <w:spacing w:after="200" w:line="276"/>
        <w:jc w:val="both"/>
      </w:pPr>
      <w:r>
        <w:rPr>
          <w:rFonts w:ascii="Calibri" w:cs="Calibri" w:eastAsia="Calibri" w:hAnsi="Calibri"/>
          <w:b w:val="false"/>
          <w:bCs w:val="false"/>
          <w:i w:val="false"/>
          <w:iCs w:val="false"/>
          <w:color w:val="000000"/>
          <w:sz w:val="24"/>
          <w:szCs w:val="24"/>
        </w:rPr>
        <w:t xml:space="preserve">Em qualquer um dos dois cenários, o mesmo dado financeiro pesa contra o Lucro Presumido: o LAIR (Lucro Antes do IR) da empresa foi negativo em 2020, 2022, 2023, 2024 e 2025, atingindo -R$ 44.282 em 2025, com piora adicional no 1º semestre de 2026 (-R$ 25.963, patamar que, anualizado, é ainda pior que o ano anterior). O Lucro Presumido tributa IRPJ e CSLL sobre um lucro presumido por lei, independentemente do resultado real — uma empresa no prejuízo pagaria imposto sobre um lucro que não existe. Esse ponto descarta o Presumido nos dois cenários.</w:t>
      </w:r>
    </w:p>
    <w:p>
      <w:pPr>
        <w:spacing w:after="200" w:line="276"/>
        <w:jc w:val="both"/>
      </w:pPr>
      <w:r>
        <w:rPr>
          <w:rFonts w:ascii="Calibri" w:cs="Calibri" w:eastAsia="Calibri" w:hAnsi="Calibri"/>
          <w:b w:val="false"/>
          <w:bCs w:val="false"/>
          <w:i w:val="false"/>
          <w:iCs w:val="false"/>
          <w:color w:val="000000"/>
          <w:sz w:val="24"/>
          <w:szCs w:val="24"/>
        </w:rPr>
        <w:t xml:space="preserve">Cenário 1 — participação de Claudemir na outra empresa igual ou inferior a 10%: a vedação do art. 3º, §4º, IV não se aplica, e o Simples Nacional continua disponível. Nesse caso, a comparação relevante é entre permanecer no Simples e migrar para o Lucro Real, e depende ainda do Fator R (folha de pagamento) para saber em qual Anexo do Simples a empresa se enquadraria.</w:t>
      </w:r>
    </w:p>
    <w:p>
      <w:pPr>
        <w:spacing w:after="200" w:line="276"/>
        <w:jc w:val="both"/>
      </w:pPr>
      <w:r>
        <w:rPr>
          <w:rFonts w:ascii="Calibri" w:cs="Calibri" w:eastAsia="Calibri" w:hAnsi="Calibri"/>
          <w:b w:val="false"/>
          <w:bCs w:val="false"/>
          <w:i w:val="false"/>
          <w:iCs w:val="false"/>
          <w:color w:val="000000"/>
          <w:sz w:val="24"/>
          <w:szCs w:val="24"/>
        </w:rPr>
        <w:t xml:space="preserve">Cenário 2 — participação superior a 10%: a empresa está desenquadrada do Simples Nacional e a escolha se resume a Lucro Presumido versus Lucro Real. Como o Presumido já foi descartado pelo histórico de prejuízo, o Lucro Real desponta como a opção mais alinhada à realidade financeira da empresa nesse cenário, por tributar o lucro efetivo (que tem sido negativo) e permitir a compensação de prejuízos fiscais acumulados em exercícios futuros, limitada a 30% do lucro líquido ajustado por período.</w:t>
      </w:r>
    </w:p>
    <w:p>
      <w:pPr>
        <w:pBdr>
          <w:top w:val="single" w:color="8B1E1E" w:sz="6"/>
          <w:bottom w:val="single" w:color="8B1E1E" w:sz="6"/>
          <w:left w:val="single" w:color="8B1E1E" w:sz="6"/>
          <w:right w:val="single" w:color="8B1E1E" w:sz="6"/>
        </w:pBdr>
        <w:shd w:fill="F5E6E6" w:val="clear"/>
        <w:spacing w:after="300" w:before="150"/>
      </w:pPr>
      <w:r>
        <w:rPr>
          <w:rFonts w:ascii="Calibri" w:cs="Calibri" w:eastAsia="Calibri" w:hAnsi="Calibri"/>
          <w:b/>
          <w:bCs/>
          <w:color w:val="8B1E1E"/>
          <w:sz w:val="24"/>
          <w:szCs w:val="24"/>
        </w:rPr>
        <w:t xml:space="preserve">PONTO EM ABERTO: </w:t>
      </w:r>
      <w:r>
        <w:rPr>
          <w:rFonts w:ascii="Calibri" w:cs="Calibri" w:eastAsia="Calibri" w:hAnsi="Calibri"/>
          <w:i/>
          <w:iCs/>
          <w:sz w:val="24"/>
          <w:szCs w:val="24"/>
        </w:rPr>
        <w:t xml:space="preserve">Recomendação preliminar, não conclusiva: falta confirmar (i) o percentual de participação de Claudemir na outra empresa, que determina se a empresa ainda pode ficar no Simples; e (ii) a folha de pagamento dos últimos 12 meses (Fator R) e o CNAE, necessários caso o Simples permaneça disponível. Em qualquer cenário, o Lucro Presumido é a opção menos indicada dado o histórico recente de prejuízo.</w:t>
      </w:r>
    </w:p>
    <w:p>
      <w:pPr>
        <w:pStyle w:val="Heading1"/>
        <w:spacing w:after="200" w:before="400"/>
      </w:pPr>
      <w:r>
        <w:rPr>
          <w:rFonts w:ascii="Calibri" w:cs="Calibri" w:eastAsia="Calibri" w:hAnsi="Calibri"/>
          <w:b/>
          <w:bCs/>
          <w:color w:val="8B1E1E"/>
          <w:sz w:val="32"/>
          <w:szCs w:val="32"/>
        </w:rPr>
        <w:t xml:space="preserve">3. A Reforma Tributária e seus Impactos no Negócio</w:t>
      </w:r>
    </w:p>
    <w:p>
      <w:pPr>
        <w:pStyle w:val="Heading2"/>
        <w:spacing w:after="150" w:before="300"/>
      </w:pPr>
      <w:r>
        <w:rPr>
          <w:rFonts w:ascii="Calibri" w:cs="Calibri" w:eastAsia="Calibri" w:hAnsi="Calibri"/>
          <w:b/>
          <w:bCs/>
          <w:color w:val="444444"/>
          <w:sz w:val="26"/>
          <w:szCs w:val="26"/>
        </w:rPr>
        <w:t xml:space="preserve">3.1 Por que o sistema está mudando</w:t>
      </w:r>
    </w:p>
    <w:p>
      <w:pPr>
        <w:spacing w:after="200" w:line="276"/>
        <w:jc w:val="both"/>
      </w:pPr>
      <w:r>
        <w:rPr>
          <w:rFonts w:ascii="Calibri" w:cs="Calibri" w:eastAsia="Calibri" w:hAnsi="Calibri"/>
          <w:b w:val="false"/>
          <w:bCs w:val="false"/>
          <w:i w:val="false"/>
          <w:iCs w:val="false"/>
          <w:color w:val="000000"/>
          <w:sz w:val="24"/>
          <w:szCs w:val="24"/>
        </w:rPr>
        <w:t xml:space="preserve">O Brasil está passando por uma reestruturação profunda da forma como os impostos sobre consumo são cobrados. Hoje, uma empresa como o Lava Rápido Nogueira convive com um sistema considerado complexo: são vários tributos diferentes (PIS, COFINS, ICMS, ISS, IPI), cada um com suas próprias regras, calculados de formas distintas e, em muitos casos, cobrados "em cascata" — ou seja, o imposto pago em uma etapa da cadeia acaba sendo tributado novamente na etapa seguinte, encarecendo o produto ou serviço final sem necessariamente aumentar a arrecadação de forma justa.</w:t>
      </w:r>
    </w:p>
    <w:p>
      <w:pPr>
        <w:spacing w:after="200" w:line="276"/>
        <w:jc w:val="both"/>
      </w:pPr>
      <w:r>
        <w:rPr>
          <w:rFonts w:ascii="Calibri" w:cs="Calibri" w:eastAsia="Calibri" w:hAnsi="Calibri"/>
          <w:b w:val="false"/>
          <w:bCs w:val="false"/>
          <w:i w:val="false"/>
          <w:iCs w:val="false"/>
          <w:color w:val="000000"/>
          <w:sz w:val="24"/>
          <w:szCs w:val="24"/>
        </w:rPr>
        <w:t xml:space="preserve">A Emenda Constitucional nº 132/2023 criou as bases para simplificar esse sistema, substituindo cinco tributos (PIS, COFINS, IPI, ICMS e ISS) por apenas dois novos: a CBS (Contribuição sobre Bens e Serviços, de competência federal) e o IBS (Imposto sobre Bens e Serviços, de competência compartilhada entre estados e municípios), além de um terceiro tributo, o Imposto Seletivo, que incide sobre produtos considerados prejudiciais à saúde ou ao meio ambiente e não deve afetar a atividade do lava-rápido.</w:t>
      </w:r>
    </w:p>
    <w:p>
      <w:pPr>
        <w:pStyle w:val="Heading2"/>
        <w:spacing w:after="150" w:before="300"/>
      </w:pPr>
      <w:r>
        <w:rPr>
          <w:rFonts w:ascii="Calibri" w:cs="Calibri" w:eastAsia="Calibri" w:hAnsi="Calibri"/>
          <w:b/>
          <w:bCs/>
          <w:color w:val="444444"/>
          <w:sz w:val="26"/>
          <w:szCs w:val="26"/>
        </w:rPr>
        <w:t xml:space="preserve">3.2 O que muda na prática</w:t>
      </w:r>
    </w:p>
    <w:p>
      <w:pPr>
        <w:spacing w:after="200" w:line="276"/>
        <w:jc w:val="both"/>
      </w:pPr>
      <w:r>
        <w:rPr>
          <w:rFonts w:ascii="Calibri" w:cs="Calibri" w:eastAsia="Calibri" w:hAnsi="Calibri"/>
          <w:b w:val="false"/>
          <w:bCs w:val="false"/>
          <w:i w:val="false"/>
          <w:iCs w:val="false"/>
          <w:color w:val="000000"/>
          <w:sz w:val="24"/>
          <w:szCs w:val="24"/>
        </w:rPr>
        <w:t xml:space="preserve">A lógica desses dois novos tributos segue o modelo internacional conhecido como "IVA Dual": um sistema de não cumulatividade ampla (a empresa pode se creditar de praticamente tudo o que compra para operar, reduzindo o efeito cascata) e tributação no destino (o imposto passa a ser recolhido no local onde o serviço é efetivamente consumido, e não mais na origem, o que tende a acabar com a guerra fiscal entre estados).</w:t>
      </w:r>
    </w:p>
    <w:p>
      <w:pPr>
        <w:spacing w:after="200" w:line="276"/>
        <w:jc w:val="both"/>
      </w:pPr>
      <w:r>
        <w:rPr>
          <w:rFonts w:ascii="Calibri" w:cs="Calibri" w:eastAsia="Calibri" w:hAnsi="Calibri"/>
          <w:b w:val="false"/>
          <w:bCs w:val="false"/>
          <w:i w:val="false"/>
          <w:iCs w:val="false"/>
          <w:color w:val="000000"/>
          <w:sz w:val="24"/>
          <w:szCs w:val="24"/>
        </w:rPr>
        <w:t xml:space="preserve">Para uma empresa de prestação de serviços com um único ponto físico e atendimento majoritariamente a pessoas físicas, como é o caso do lava-rápido, o principal efeito prático da reforma tende a ser a simplificação do cálculo e das obrigações acessórias, e não necessariamente uma mudança relevante na carga tributária final — especialmente se a empresa permanecer no Simples Nacional, que continuará existindo como regime simplificado ao longo de toda a transição.</w:t>
      </w:r>
    </w:p>
    <w:p>
      <w:pPr>
        <w:pStyle w:val="Heading2"/>
        <w:spacing w:after="150" w:before="300"/>
      </w:pPr>
      <w:r>
        <w:rPr>
          <w:rFonts w:ascii="Calibri" w:cs="Calibri" w:eastAsia="Calibri" w:hAnsi="Calibri"/>
          <w:b/>
          <w:bCs/>
          <w:color w:val="444444"/>
          <w:sz w:val="26"/>
          <w:szCs w:val="26"/>
        </w:rPr>
        <w:t xml:space="preserve">3.3 O calendário de transição</w:t>
      </w:r>
    </w:p>
    <w:p>
      <w:pPr>
        <w:spacing w:after="200" w:line="276"/>
        <w:jc w:val="both"/>
      </w:pPr>
      <w:r>
        <w:rPr>
          <w:rFonts w:ascii="Calibri" w:cs="Calibri" w:eastAsia="Calibri" w:hAnsi="Calibri"/>
          <w:b w:val="false"/>
          <w:bCs w:val="false"/>
          <w:i w:val="false"/>
          <w:iCs w:val="false"/>
          <w:color w:val="000000"/>
          <w:sz w:val="24"/>
          <w:szCs w:val="24"/>
        </w:rPr>
        <w:t xml:space="preserve">A mudança não acontece de uma vez: ela está sendo implementada de forma gradual, ano a ano, até 2033. Em linhas gerais, o cronograma previsto é o seguinte: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3000"/>
      </w:tblGrid>
      <w:tr>
        <w:tc>
          <w:tcPr>
            <w:tcW w:type="dxa" w:w="1700"/>
            <w:shd w:fill="8B1E1E" w:val="clear"/>
            <w:tcMar>
              <w:top w:type="dxa" w:w="100"/>
              <w:left w:type="dxa" w:w="120"/>
              <w:bottom w:type="dxa" w:w="100"/>
              <w:right w:type="dxa" w:w="120"/>
            </w:tcMar>
          </w:tcPr>
          <w:p>
            <w:r>
              <w:rPr>
                <w:rFonts w:ascii="Calibri" w:cs="Calibri" w:eastAsia="Calibri" w:hAnsi="Calibri"/>
                <w:b/>
                <w:bCs/>
                <w:color w:val="FFFFFF"/>
                <w:sz w:val="22"/>
                <w:szCs w:val="22"/>
              </w:rPr>
              <w:t xml:space="preserve">Período</w:t>
            </w:r>
          </w:p>
        </w:tc>
        <w:tc>
          <w:tcPr>
            <w:tcW w:type="dxa" w:w="5000"/>
            <w:shd w:fill="8B1E1E" w:val="clear"/>
            <w:tcMar>
              <w:top w:type="dxa" w:w="100"/>
              <w:left w:type="dxa" w:w="120"/>
              <w:bottom w:type="dxa" w:w="100"/>
              <w:right w:type="dxa" w:w="120"/>
            </w:tcMar>
          </w:tcPr>
          <w:p>
            <w:r>
              <w:rPr>
                <w:rFonts w:ascii="Calibri" w:cs="Calibri" w:eastAsia="Calibri" w:hAnsi="Calibri"/>
                <w:b/>
                <w:bCs/>
                <w:color w:val="FFFFFF"/>
                <w:sz w:val="22"/>
                <w:szCs w:val="22"/>
              </w:rPr>
              <w:t xml:space="preserve">O que acontece</w:t>
            </w:r>
          </w:p>
        </w:tc>
        <w:tc>
          <w:tcPr>
            <w:tcW w:type="dxa" w:w="3000"/>
            <w:shd w:fill="8B1E1E" w:val="clear"/>
            <w:tcMar>
              <w:top w:type="dxa" w:w="100"/>
              <w:left w:type="dxa" w:w="120"/>
              <w:bottom w:type="dxa" w:w="100"/>
              <w:right w:type="dxa" w:w="120"/>
            </w:tcMar>
          </w:tcPr>
          <w:p>
            <w:r>
              <w:rPr>
                <w:rFonts w:ascii="Calibri" w:cs="Calibri" w:eastAsia="Calibri" w:hAnsi="Calibri"/>
                <w:b/>
                <w:bCs/>
                <w:color w:val="FFFFFF"/>
                <w:sz w:val="22"/>
                <w:szCs w:val="22"/>
              </w:rPr>
              <w:t xml:space="preserve">Situação dos tributos atuais</w:t>
            </w:r>
          </w:p>
        </w:tc>
      </w:tr>
      <w:tr>
        <w:tc>
          <w:tcPr>
            <w:tcW w:type="dxa" w:w="1700"/>
            <w:tcMar>
              <w:top w:type="dxa" w:w="100"/>
              <w:left w:type="dxa" w:w="120"/>
              <w:bottom w:type="dxa" w:w="100"/>
              <w:right w:type="dxa" w:w="120"/>
            </w:tcMar>
          </w:tcPr>
          <w:p>
            <w:r>
              <w:rPr>
                <w:rFonts w:ascii="Calibri" w:cs="Calibri" w:eastAsia="Calibri" w:hAnsi="Calibri"/>
                <w:b w:val="false"/>
                <w:bCs w:val="false"/>
                <w:color w:val="000000"/>
                <w:sz w:val="22"/>
                <w:szCs w:val="22"/>
              </w:rPr>
              <w:t xml:space="preserve">2026</w:t>
            </w:r>
          </w:p>
        </w:tc>
        <w:tc>
          <w:tcPr>
            <w:tcW w:type="dxa" w:w="5000"/>
            <w:tcMar>
              <w:top w:type="dxa" w:w="100"/>
              <w:left w:type="dxa" w:w="120"/>
              <w:bottom w:type="dxa" w:w="100"/>
              <w:right w:type="dxa" w:w="120"/>
            </w:tcMar>
          </w:tcPr>
          <w:p>
            <w:r>
              <w:rPr>
                <w:rFonts w:ascii="Calibri" w:cs="Calibri" w:eastAsia="Calibri" w:hAnsi="Calibri"/>
                <w:b w:val="false"/>
                <w:bCs w:val="false"/>
                <w:color w:val="000000"/>
                <w:sz w:val="22"/>
                <w:szCs w:val="22"/>
              </w:rPr>
              <w:t xml:space="preserve">Ano de teste. CBS e IBS começam a ser calculados nos documentos fiscais (0,9% e 0,1%, respectivamente), mas sem cobrança efetiva.</w:t>
            </w:r>
          </w:p>
        </w:tc>
        <w:tc>
          <w:tcPr>
            <w:tcW w:type="dxa" w:w="3000"/>
            <w:tcMar>
              <w:top w:type="dxa" w:w="100"/>
              <w:left w:type="dxa" w:w="120"/>
              <w:bottom w:type="dxa" w:w="100"/>
              <w:right w:type="dxa" w:w="120"/>
            </w:tcMar>
          </w:tcPr>
          <w:p>
            <w:r>
              <w:rPr>
                <w:rFonts w:ascii="Calibri" w:cs="Calibri" w:eastAsia="Calibri" w:hAnsi="Calibri"/>
                <w:b w:val="false"/>
                <w:bCs w:val="false"/>
                <w:color w:val="000000"/>
                <w:sz w:val="22"/>
                <w:szCs w:val="22"/>
              </w:rPr>
              <w:t xml:space="preserve">PIS, COFINS, ICMS e ISS continuam sendo cobrados normalmente, sem alteração.</w:t>
            </w:r>
          </w:p>
        </w:tc>
      </w:tr>
      <w:tr>
        <w:tc>
          <w:tcPr>
            <w:tcW w:type="dxa" w:w="1700"/>
            <w:tcMar>
              <w:top w:type="dxa" w:w="100"/>
              <w:left w:type="dxa" w:w="120"/>
              <w:bottom w:type="dxa" w:w="100"/>
              <w:right w:type="dxa" w:w="120"/>
            </w:tcMar>
          </w:tcPr>
          <w:p>
            <w:r>
              <w:rPr>
                <w:rFonts w:ascii="Calibri" w:cs="Calibri" w:eastAsia="Calibri" w:hAnsi="Calibri"/>
                <w:b w:val="false"/>
                <w:bCs w:val="false"/>
                <w:color w:val="000000"/>
                <w:sz w:val="22"/>
                <w:szCs w:val="22"/>
              </w:rPr>
              <w:t xml:space="preserve">2027–2028</w:t>
            </w:r>
          </w:p>
        </w:tc>
        <w:tc>
          <w:tcPr>
            <w:tcW w:type="dxa" w:w="5000"/>
            <w:tcMar>
              <w:top w:type="dxa" w:w="100"/>
              <w:left w:type="dxa" w:w="120"/>
              <w:bottom w:type="dxa" w:w="100"/>
              <w:right w:type="dxa" w:w="120"/>
            </w:tcMar>
          </w:tcPr>
          <w:p>
            <w:r>
              <w:rPr>
                <w:rFonts w:ascii="Calibri" w:cs="Calibri" w:eastAsia="Calibri" w:hAnsi="Calibri"/>
                <w:b w:val="false"/>
                <w:bCs w:val="false"/>
                <w:color w:val="000000"/>
                <w:sz w:val="22"/>
                <w:szCs w:val="22"/>
              </w:rPr>
              <w:t xml:space="preserve">PIS e COFINS são extintos e substituídos pela CBS, já em sua alíquota consolidada (cerca de 10% a 11%).</w:t>
            </w:r>
          </w:p>
        </w:tc>
        <w:tc>
          <w:tcPr>
            <w:tcW w:type="dxa" w:w="3000"/>
            <w:tcMar>
              <w:top w:type="dxa" w:w="100"/>
              <w:left w:type="dxa" w:w="120"/>
              <w:bottom w:type="dxa" w:w="100"/>
              <w:right w:type="dxa" w:w="120"/>
            </w:tcMar>
          </w:tcPr>
          <w:p>
            <w:r>
              <w:rPr>
                <w:rFonts w:ascii="Calibri" w:cs="Calibri" w:eastAsia="Calibri" w:hAnsi="Calibri"/>
                <w:b w:val="false"/>
                <w:bCs w:val="false"/>
                <w:color w:val="000000"/>
                <w:sz w:val="22"/>
                <w:szCs w:val="22"/>
              </w:rPr>
              <w:t xml:space="preserve">ICMS e ISS continuam sem alteração neste período.</w:t>
            </w:r>
          </w:p>
        </w:tc>
      </w:tr>
      <w:tr>
        <w:tc>
          <w:tcPr>
            <w:tcW w:type="dxa" w:w="1700"/>
            <w:tcMar>
              <w:top w:type="dxa" w:w="100"/>
              <w:left w:type="dxa" w:w="120"/>
              <w:bottom w:type="dxa" w:w="100"/>
              <w:right w:type="dxa" w:w="120"/>
            </w:tcMar>
          </w:tcPr>
          <w:p>
            <w:r>
              <w:rPr>
                <w:rFonts w:ascii="Calibri" w:cs="Calibri" w:eastAsia="Calibri" w:hAnsi="Calibri"/>
                <w:b w:val="false"/>
                <w:bCs w:val="false"/>
                <w:color w:val="000000"/>
                <w:sz w:val="22"/>
                <w:szCs w:val="22"/>
              </w:rPr>
              <w:t xml:space="preserve">2029–2032</w:t>
            </w:r>
          </w:p>
        </w:tc>
        <w:tc>
          <w:tcPr>
            <w:tcW w:type="dxa" w:w="5000"/>
            <w:tcMar>
              <w:top w:type="dxa" w:w="100"/>
              <w:left w:type="dxa" w:w="120"/>
              <w:bottom w:type="dxa" w:w="100"/>
              <w:right w:type="dxa" w:w="120"/>
            </w:tcMar>
          </w:tcPr>
          <w:p>
            <w:r>
              <w:rPr>
                <w:rFonts w:ascii="Calibri" w:cs="Calibri" w:eastAsia="Calibri" w:hAnsi="Calibri"/>
                <w:b w:val="false"/>
                <w:bCs w:val="false"/>
                <w:color w:val="000000"/>
                <w:sz w:val="22"/>
                <w:szCs w:val="22"/>
              </w:rPr>
              <w:t xml:space="preserve">Início efetivo da transição do IBS: a cada ano, ICMS e ISS são reduzidos em 10 pontos percentuais, sendo substituídos gradualmente pelo IBS.</w:t>
            </w:r>
          </w:p>
        </w:tc>
        <w:tc>
          <w:tcPr>
            <w:tcW w:type="dxa" w:w="3000"/>
            <w:tcMar>
              <w:top w:type="dxa" w:w="100"/>
              <w:left w:type="dxa" w:w="120"/>
              <w:bottom w:type="dxa" w:w="100"/>
              <w:right w:type="dxa" w:w="120"/>
            </w:tcMar>
          </w:tcPr>
          <w:p>
            <w:r>
              <w:rPr>
                <w:rFonts w:ascii="Calibri" w:cs="Calibri" w:eastAsia="Calibri" w:hAnsi="Calibri"/>
                <w:b w:val="false"/>
                <w:bCs w:val="false"/>
                <w:color w:val="000000"/>
                <w:sz w:val="22"/>
                <w:szCs w:val="22"/>
              </w:rPr>
              <w:t xml:space="preserve">Redução progressiva de ICMS e ISS (90% → 60% da alíquota original ao longo do período).</w:t>
            </w:r>
          </w:p>
        </w:tc>
      </w:tr>
      <w:tr>
        <w:tc>
          <w:tcPr>
            <w:tcW w:type="dxa" w:w="1700"/>
            <w:tcMar>
              <w:top w:type="dxa" w:w="100"/>
              <w:left w:type="dxa" w:w="120"/>
              <w:bottom w:type="dxa" w:w="100"/>
              <w:right w:type="dxa" w:w="120"/>
            </w:tcMar>
          </w:tcPr>
          <w:p>
            <w:r>
              <w:rPr>
                <w:rFonts w:ascii="Calibri" w:cs="Calibri" w:eastAsia="Calibri" w:hAnsi="Calibri"/>
                <w:b w:val="false"/>
                <w:bCs w:val="false"/>
                <w:color w:val="000000"/>
                <w:sz w:val="22"/>
                <w:szCs w:val="22"/>
              </w:rPr>
              <w:t xml:space="preserve">2033</w:t>
            </w:r>
          </w:p>
        </w:tc>
        <w:tc>
          <w:tcPr>
            <w:tcW w:type="dxa" w:w="5000"/>
            <w:tcMar>
              <w:top w:type="dxa" w:w="100"/>
              <w:left w:type="dxa" w:w="120"/>
              <w:bottom w:type="dxa" w:w="100"/>
              <w:right w:type="dxa" w:w="120"/>
            </w:tcMar>
          </w:tcPr>
          <w:p>
            <w:r>
              <w:rPr>
                <w:rFonts w:ascii="Calibri" w:cs="Calibri" w:eastAsia="Calibri" w:hAnsi="Calibri"/>
                <w:b w:val="false"/>
                <w:bCs w:val="false"/>
                <w:color w:val="000000"/>
                <w:sz w:val="22"/>
                <w:szCs w:val="22"/>
              </w:rPr>
              <w:t xml:space="preserve">ICMS e ISS são definitivamente extintos. O IBS passa a valer em sua alíquota final.</w:t>
            </w:r>
          </w:p>
        </w:tc>
        <w:tc>
          <w:tcPr>
            <w:tcW w:type="dxa" w:w="3000"/>
            <w:tcMar>
              <w:top w:type="dxa" w:w="100"/>
              <w:left w:type="dxa" w:w="120"/>
              <w:bottom w:type="dxa" w:w="100"/>
              <w:right w:type="dxa" w:w="120"/>
            </w:tcMar>
          </w:tcPr>
          <w:p>
            <w:r>
              <w:rPr>
                <w:rFonts w:ascii="Calibri" w:cs="Calibri" w:eastAsia="Calibri" w:hAnsi="Calibri"/>
                <w:b w:val="false"/>
                <w:bCs w:val="false"/>
                <w:color w:val="000000"/>
                <w:sz w:val="22"/>
                <w:szCs w:val="22"/>
              </w:rPr>
              <w:t xml:space="preserve">Sistema novo totalmente implementado.</w:t>
            </w:r>
          </w:p>
        </w:tc>
      </w:tr>
    </w:tbl>
    <w:p>
      <w:pPr>
        <w:spacing w:after="200"/>
      </w:pPr>
    </w:p>
    <w:p>
      <w:pPr>
        <w:spacing w:after="200" w:line="276"/>
        <w:jc w:val="both"/>
      </w:pPr>
      <w:r>
        <w:rPr>
          <w:rFonts w:ascii="Calibri" w:cs="Calibri" w:eastAsia="Calibri" w:hAnsi="Calibri"/>
          <w:b w:val="false"/>
          <w:bCs w:val="false"/>
          <w:i w:val="false"/>
          <w:iCs w:val="false"/>
          <w:color w:val="000000"/>
          <w:sz w:val="24"/>
          <w:szCs w:val="24"/>
        </w:rPr>
        <w:t xml:space="preserve">É importante que o Claudemir tenha clareza sobre um ponto: esse calendário ainda pode sofrer ajustes por parte do governo federal, já que parte da regulamentação depende de decretos que ainda estão sendo editados. Nada do que foi descrito acima deve ser tratado como definitivo até a publicação das normas finais.</w:t>
      </w:r>
    </w:p>
    <w:p>
      <w:pPr>
        <w:pStyle w:val="Heading2"/>
        <w:spacing w:after="150" w:before="300"/>
      </w:pPr>
      <w:r>
        <w:rPr>
          <w:rFonts w:ascii="Calibri" w:cs="Calibri" w:eastAsia="Calibri" w:hAnsi="Calibri"/>
          <w:b/>
          <w:bCs/>
          <w:color w:val="444444"/>
          <w:sz w:val="26"/>
          <w:szCs w:val="26"/>
        </w:rPr>
        <w:t xml:space="preserve">3.4 O que isso significa para o Lava Rápido Nogueira</w:t>
      </w:r>
    </w:p>
    <w:p>
      <w:pPr>
        <w:spacing w:after="200" w:line="276"/>
        <w:jc w:val="both"/>
      </w:pPr>
      <w:r>
        <w:rPr>
          <w:rFonts w:ascii="Calibri" w:cs="Calibri" w:eastAsia="Calibri" w:hAnsi="Calibri"/>
          <w:b w:val="false"/>
          <w:bCs w:val="false"/>
          <w:i w:val="false"/>
          <w:iCs w:val="false"/>
          <w:color w:val="000000"/>
          <w:sz w:val="24"/>
          <w:szCs w:val="24"/>
        </w:rPr>
        <w:t xml:space="preserve">Enquanto a empresa permanecer no Simples Nacional — o que tende a continuar sendo o cenário mais provável para um negócio deste porte e perfil, sujeito à confirmação na Seção 2 —, o impacto direto da reforma é limitado: o regime simplificado continua existindo, e o recolhimento seguirá sendo feito por meio da guia única (DAS), sem que o cliente final da lavagem (pessoa física) precise se preocupar com destaque de créditos, já que o consumidor final não aproveita crédito tributário em nenhum dos dois sistemas.</w:t>
      </w:r>
    </w:p>
    <w:p>
      <w:pPr>
        <w:spacing w:after="200" w:line="276"/>
        <w:jc w:val="both"/>
      </w:pPr>
      <w:r>
        <w:rPr>
          <w:rFonts w:ascii="Calibri" w:cs="Calibri" w:eastAsia="Calibri" w:hAnsi="Calibri"/>
          <w:b w:val="false"/>
          <w:bCs w:val="false"/>
          <w:i w:val="false"/>
          <w:iCs w:val="false"/>
          <w:color w:val="000000"/>
          <w:sz w:val="24"/>
          <w:szCs w:val="24"/>
        </w:rPr>
        <w:t xml:space="preserve">Um ponto de atenção específico, no entanto, já pode ser destacado desde já: a partir de 2027, mesmo empresas do Simples Nacional passarão a ter a obrigação de destacar os novos tributos (CBS e IBS) nos documentos fiscais emitidos, ainda que a apuração e o recolhimento continuem sendo feitos pela sistemática simplificada do Simples. Isso pode exigir uma atualização do sistema de emissão de notas fiscais utilizado pela empresa, e deve ser um item de atenção operacional ao longo de 2026 e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Lava Rápido Nogueira — Análise Tributária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2026-08-06T21:14:17.481Z</dcterms:created>
  <dcterms:modified xsi:type="dcterms:W3CDTF">2026-08-06T21:14:17.481Z</dcterms:modified>
</cp:coreProperties>
</file>

<file path=docProps/custom.xml><?xml version="1.0" encoding="utf-8"?>
<Properties xmlns="http://schemas.openxmlformats.org/officeDocument/2006/custom-properties" xmlns:vt="http://schemas.openxmlformats.org/officeDocument/2006/docPropsVTypes"/>
</file>