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bookmarkStart w:id="1" w:name="Indice"/>
      <w:r>
        <w:t>GUIA DE CONTINUIDADE</w:t>
      </w:r>
      <w:bookmarkEnd w:id="1"/>
    </w:p>
    <w:p>
      <w:pPr>
        <w:pStyle w:val="CoverTitle"/>
        <w:jc w:val="center"/>
      </w:pPr>
      <w:r>
        <w:t>Chat Request</w:t>
      </w:r>
    </w:p>
    <w:p>
      <w:pPr>
        <w:pStyle w:val="CoverSubtitle"/>
        <w:jc w:val="center"/>
      </w:pPr>
      <w:r>
        <w:t>Prompts completos</w:t>
        <w:br/>
        <w:t>Fases 6 a 12</w:t>
      </w:r>
    </w:p>
    <w:p>
      <w:pPr>
        <w:pStyle w:val="CoverNote"/>
        <w:jc w:val="center"/>
      </w:pPr>
      <w:r>
        <w:t>Sete prompts independentes para continuar a implementação,</w:t>
        <w:br/>
        <w:t>validar as telas e preparar o uso institucional no IFPE.</w:t>
      </w:r>
    </w:p>
    <w:p>
      <w:pPr>
        <w:pStyle w:val="QuietNote"/>
        <w:jc w:val="center"/>
      </w:pPr>
      <w:r>
        <w:t>Ponto de retomada: Fase 5  |  Edição: 05/09/2026</w:t>
      </w:r>
    </w:p>
    <w:p>
      <w:pPr>
        <w:pStyle w:val="Heading2"/>
      </w:pPr>
      <w:r>
        <w:t>Mapa das próximas fases</w:t>
      </w:r>
    </w:p>
    <w:tbl>
      <w:tblPr>
        <w:tblW w:type="dxa" w:w="9360"/>
        <w:tblLayout w:type="fixed"/>
        <w:tblLook w:firstColumn="1" w:firstRow="1" w:lastColumn="0" w:lastRow="0" w:noHBand="0" w:noVBand="1" w:val="04A0"/>
        <w:jc w:val="left"/>
        <w:tblBorders>
          <w:top w:val="single" w:sz="4" w:color="C7D3DE"/>
          <w:left w:val="single" w:sz="4" w:color="C7D3DE"/>
          <w:bottom w:val="single" w:sz="4" w:color="C7D3DE"/>
          <w:right w:val="single" w:sz="4" w:color="C7D3DE"/>
          <w:insideH w:val="single" w:sz="4" w:color="C7D3DE"/>
          <w:insideV w:val="single" w:sz="4" w:color="C7D3DE"/>
        </w:tblBorders>
        <w:tblInd w:type="dxa" w:w="120"/>
      </w:tblPr>
      <w:tblGrid>
        <w:gridCol w:w="1701"/>
        <w:gridCol w:w="7659"/>
      </w:tblGrid>
      <w:tr>
        <w:trPr>
          <w:cantSplit/>
          <w:tblHeader/>
        </w:trPr>
        <w:tc>
          <w:tcPr>
            <w:tcW w:type="dxa" w:w="1701"/>
            <w:shd w:fill="E8EEF5" w:val="clear"/>
            <w:tcMar>
              <w:top w:w="80" w:type="dxa"/>
              <w:bottom w:w="80" w:type="dxa"/>
              <w:start w:w="120" w:type="dxa"/>
              <w:end w:w="120" w:type="dxa"/>
            </w:tcMar>
          </w:tcPr>
          <w:p>
            <w:pPr>
              <w:pStyle w:val="TableText"/>
            </w:pPr>
            <w:r>
              <w:rPr>
                <w:b/>
              </w:rPr>
              <w:t>Fase</w:t>
            </w:r>
          </w:p>
        </w:tc>
        <w:tc>
          <w:tcPr>
            <w:tcW w:type="dxa" w:w="7659"/>
            <w:shd w:fill="E8EEF5" w:val="clear"/>
            <w:tcMar>
              <w:top w:w="80" w:type="dxa"/>
              <w:bottom w:w="80" w:type="dxa"/>
              <w:start w:w="120" w:type="dxa"/>
              <w:end w:w="120" w:type="dxa"/>
            </w:tcMar>
          </w:tcPr>
          <w:p>
            <w:pPr>
              <w:pStyle w:val="TableText"/>
            </w:pPr>
            <w:r>
              <w:rPr>
                <w:b/>
              </w:rPr>
              <w:t>Entrega principal</w:t>
            </w:r>
          </w:p>
        </w:tc>
      </w:tr>
      <w:tr>
        <w:trPr>
          <w:cantSplit/>
        </w:trPr>
        <w:tc>
          <w:tcPr>
            <w:tcW w:type="dxa" w:w="1701"/>
            <w:vAlign w:val="center"/>
            <w:tcMar>
              <w:top w:w="80" w:type="dxa"/>
              <w:bottom w:w="80" w:type="dxa"/>
              <w:start w:w="120" w:type="dxa"/>
              <w:end w:w="120" w:type="dxa"/>
            </w:tcMar>
          </w:tcPr>
          <w:p>
            <w:pPr>
              <w:pStyle w:val="TableText"/>
            </w:pPr>
            <w:hyperlink w:anchor="Fase6">
              <w:r>
                <w:rPr>
                  <w:color w:val="2E74B5"/>
                  <w:u w:val="single"/>
                </w:rPr>
                <w:t>Fase 6</w:t>
              </w:r>
            </w:hyperlink>
          </w:p>
        </w:tc>
        <w:tc>
          <w:tcPr>
            <w:tcW w:type="dxa" w:w="7659"/>
            <w:vAlign w:val="center"/>
            <w:tcMar>
              <w:top w:w="80" w:type="dxa"/>
              <w:bottom w:w="80" w:type="dxa"/>
              <w:start w:w="120" w:type="dxa"/>
              <w:end w:w="120" w:type="dxa"/>
            </w:tcMar>
          </w:tcPr>
          <w:p>
            <w:pPr>
              <w:pStyle w:val="TableText"/>
            </w:pPr>
            <w:r>
              <w:t>Notificações internas e por e-mail</w:t>
            </w:r>
          </w:p>
        </w:tc>
      </w:tr>
      <w:tr>
        <w:trPr>
          <w:cantSplit/>
        </w:trPr>
        <w:tc>
          <w:tcPr>
            <w:tcW w:type="dxa" w:w="1701"/>
            <w:vAlign w:val="center"/>
            <w:tcMar>
              <w:top w:w="80" w:type="dxa"/>
              <w:bottom w:w="80" w:type="dxa"/>
              <w:start w:w="120" w:type="dxa"/>
              <w:end w:w="120" w:type="dxa"/>
            </w:tcMar>
          </w:tcPr>
          <w:p>
            <w:pPr>
              <w:pStyle w:val="TableText"/>
            </w:pPr>
            <w:hyperlink w:anchor="Fase7">
              <w:r>
                <w:rPr>
                  <w:color w:val="2E74B5"/>
                  <w:u w:val="single"/>
                </w:rPr>
                <w:t>Fase 7</w:t>
              </w:r>
            </w:hyperlink>
          </w:p>
        </w:tc>
        <w:tc>
          <w:tcPr>
            <w:tcW w:type="dxa" w:w="7659"/>
            <w:vAlign w:val="center"/>
            <w:tcMar>
              <w:top w:w="80" w:type="dxa"/>
              <w:bottom w:w="80" w:type="dxa"/>
              <w:start w:w="120" w:type="dxa"/>
              <w:end w:w="120" w:type="dxa"/>
            </w:tcMar>
          </w:tcPr>
          <w:p>
            <w:pPr>
              <w:pStyle w:val="TableText"/>
            </w:pPr>
            <w:r>
              <w:t>Formulários dinâmicos, rascunhos e duplicidade</w:t>
            </w:r>
          </w:p>
        </w:tc>
      </w:tr>
      <w:tr>
        <w:trPr>
          <w:cantSplit/>
        </w:trPr>
        <w:tc>
          <w:tcPr>
            <w:tcW w:type="dxa" w:w="1701"/>
            <w:vAlign w:val="center"/>
            <w:tcMar>
              <w:top w:w="80" w:type="dxa"/>
              <w:bottom w:w="80" w:type="dxa"/>
              <w:start w:w="120" w:type="dxa"/>
              <w:end w:w="120" w:type="dxa"/>
            </w:tcMar>
          </w:tcPr>
          <w:p>
            <w:pPr>
              <w:pStyle w:val="TableText"/>
            </w:pPr>
            <w:hyperlink w:anchor="Fase8">
              <w:r>
                <w:rPr>
                  <w:color w:val="2E74B5"/>
                  <w:u w:val="single"/>
                </w:rPr>
                <w:t>Fase 8</w:t>
              </w:r>
            </w:hyperlink>
          </w:p>
        </w:tc>
        <w:tc>
          <w:tcPr>
            <w:tcW w:type="dxa" w:w="7659"/>
            <w:vAlign w:val="center"/>
            <w:tcMar>
              <w:top w:w="80" w:type="dxa"/>
              <w:bottom w:w="80" w:type="dxa"/>
              <w:start w:w="120" w:type="dxa"/>
              <w:end w:w="120" w:type="dxa"/>
            </w:tcMar>
          </w:tcPr>
          <w:p>
            <w:pPr>
              <w:pStyle w:val="TableText"/>
            </w:pPr>
            <w:r>
              <w:t>Permissões por campus, curso e setor</w:t>
            </w:r>
          </w:p>
        </w:tc>
      </w:tr>
      <w:tr>
        <w:trPr>
          <w:cantSplit/>
        </w:trPr>
        <w:tc>
          <w:tcPr>
            <w:tcW w:type="dxa" w:w="1701"/>
            <w:vAlign w:val="center"/>
            <w:tcMar>
              <w:top w:w="80" w:type="dxa"/>
              <w:bottom w:w="80" w:type="dxa"/>
              <w:start w:w="120" w:type="dxa"/>
              <w:end w:w="120" w:type="dxa"/>
            </w:tcMar>
          </w:tcPr>
          <w:p>
            <w:pPr>
              <w:pStyle w:val="TableText"/>
            </w:pPr>
            <w:hyperlink w:anchor="Fase9">
              <w:r>
                <w:rPr>
                  <w:color w:val="2E74B5"/>
                  <w:u w:val="single"/>
                </w:rPr>
                <w:t>Fase 9</w:t>
              </w:r>
            </w:hyperlink>
          </w:p>
        </w:tc>
        <w:tc>
          <w:tcPr>
            <w:tcW w:type="dxa" w:w="7659"/>
            <w:vAlign w:val="center"/>
            <w:tcMar>
              <w:top w:w="80" w:type="dxa"/>
              <w:bottom w:w="80" w:type="dxa"/>
              <w:start w:w="120" w:type="dxa"/>
              <w:end w:w="120" w:type="dxa"/>
            </w:tcMar>
          </w:tcPr>
          <w:p>
            <w:pPr>
              <w:pStyle w:val="TableText"/>
            </w:pPr>
            <w:r>
              <w:t>Auditoria, proteção de dados e recuperação</w:t>
            </w:r>
          </w:p>
        </w:tc>
      </w:tr>
      <w:tr>
        <w:trPr>
          <w:cantSplit/>
        </w:trPr>
        <w:tc>
          <w:tcPr>
            <w:tcW w:type="dxa" w:w="1701"/>
            <w:vAlign w:val="center"/>
            <w:tcMar>
              <w:top w:w="80" w:type="dxa"/>
              <w:bottom w:w="80" w:type="dxa"/>
              <w:start w:w="120" w:type="dxa"/>
              <w:end w:w="120" w:type="dxa"/>
            </w:tcMar>
          </w:tcPr>
          <w:p>
            <w:pPr>
              <w:pStyle w:val="TableText"/>
            </w:pPr>
            <w:hyperlink w:anchor="Fase10">
              <w:r>
                <w:rPr>
                  <w:color w:val="2E74B5"/>
                  <w:u w:val="single"/>
                </w:rPr>
                <w:t>Fase 10</w:t>
              </w:r>
            </w:hyperlink>
          </w:p>
        </w:tc>
        <w:tc>
          <w:tcPr>
            <w:tcW w:type="dxa" w:w="7659"/>
            <w:vAlign w:val="center"/>
            <w:tcMar>
              <w:top w:w="80" w:type="dxa"/>
              <w:bottom w:w="80" w:type="dxa"/>
              <w:start w:w="120" w:type="dxa"/>
              <w:end w:w="120" w:type="dxa"/>
            </w:tcMar>
          </w:tcPr>
          <w:p>
            <w:pPr>
              <w:pStyle w:val="TableText"/>
            </w:pPr>
            <w:r>
              <w:t>Indicadores, relatórios e satisfação</w:t>
            </w:r>
          </w:p>
        </w:tc>
      </w:tr>
      <w:tr>
        <w:trPr>
          <w:cantSplit/>
        </w:trPr>
        <w:tc>
          <w:tcPr>
            <w:tcW w:type="dxa" w:w="1701"/>
            <w:vAlign w:val="center"/>
            <w:tcMar>
              <w:top w:w="80" w:type="dxa"/>
              <w:bottom w:w="80" w:type="dxa"/>
              <w:start w:w="120" w:type="dxa"/>
              <w:end w:w="120" w:type="dxa"/>
            </w:tcMar>
          </w:tcPr>
          <w:p>
            <w:pPr>
              <w:pStyle w:val="TableText"/>
            </w:pPr>
            <w:hyperlink w:anchor="Fase11">
              <w:r>
                <w:rPr>
                  <w:color w:val="2E74B5"/>
                  <w:u w:val="single"/>
                </w:rPr>
                <w:t>Fase 11</w:t>
              </w:r>
            </w:hyperlink>
          </w:p>
        </w:tc>
        <w:tc>
          <w:tcPr>
            <w:tcW w:type="dxa" w:w="7659"/>
            <w:vAlign w:val="center"/>
            <w:tcMar>
              <w:top w:w="80" w:type="dxa"/>
              <w:bottom w:w="80" w:type="dxa"/>
              <w:start w:w="120" w:type="dxa"/>
              <w:end w:w="120" w:type="dxa"/>
            </w:tcMar>
          </w:tcPr>
          <w:p>
            <w:pPr>
              <w:pStyle w:val="TableText"/>
            </w:pPr>
            <w:r>
              <w:t>Catálogo, calendário, acessibilidade e orientação</w:t>
            </w:r>
          </w:p>
        </w:tc>
      </w:tr>
      <w:tr>
        <w:trPr>
          <w:cantSplit/>
        </w:trPr>
        <w:tc>
          <w:tcPr>
            <w:tcW w:type="dxa" w:w="1701"/>
            <w:vAlign w:val="center"/>
            <w:tcMar>
              <w:top w:w="80" w:type="dxa"/>
              <w:bottom w:w="80" w:type="dxa"/>
              <w:start w:w="120" w:type="dxa"/>
              <w:end w:w="120" w:type="dxa"/>
            </w:tcMar>
          </w:tcPr>
          <w:p>
            <w:pPr>
              <w:pStyle w:val="TableText"/>
            </w:pPr>
            <w:hyperlink w:anchor="Fase12">
              <w:r>
                <w:rPr>
                  <w:color w:val="2E74B5"/>
                  <w:u w:val="single"/>
                </w:rPr>
                <w:t>Fase 12</w:t>
              </w:r>
            </w:hyperlink>
          </w:p>
        </w:tc>
        <w:tc>
          <w:tcPr>
            <w:tcW w:type="dxa" w:w="7659"/>
            <w:vAlign w:val="center"/>
            <w:tcMar>
              <w:top w:w="80" w:type="dxa"/>
              <w:bottom w:w="80" w:type="dxa"/>
              <w:start w:w="120" w:type="dxa"/>
              <w:end w:w="120" w:type="dxa"/>
            </w:tcMar>
          </w:tcPr>
          <w:p>
            <w:pPr>
              <w:pStyle w:val="TableText"/>
            </w:pPr>
            <w:r>
              <w:t>Integrações, homologação e lançamento assistido</w:t>
            </w:r>
          </w:p>
        </w:tc>
      </w:tr>
    </w:tbl>
    <w:p>
      <w:pPr>
        <w:pStyle w:val="TableCitation"/>
      </w:pPr>
      <w:r>
        <w:t>Clique no número da fase para ir ao prompt correspondente.</w:t>
      </w:r>
    </w:p>
    <w:p>
      <w:pPr>
        <w:pStyle w:val="CoverNote"/>
        <w:spacing w:before="280"/>
      </w:pPr>
      <w:r>
        <w:t>Cada prompt inclui: auditoria do existente, implementação, testes, validação visual e critérios de conclusão. Execute uma fase por vez.</w:t>
      </w:r>
    </w:p>
    <w:p>
      <w:pPr>
        <w:pStyle w:val="Heading1"/>
        <w:pageBreakBefore/>
        <w:spacing w:before="0"/>
      </w:pPr>
      <w:bookmarkStart w:id="2" w:name="Orientacoes"/>
      <w:r>
        <w:t>Orientações de execução</w:t>
      </w:r>
      <w:bookmarkEnd w:id="2"/>
    </w:p>
    <w:p>
      <w:pPr>
        <w:pStyle w:val="Heading2"/>
      </w:pPr>
      <w:r>
        <w:t>Como usar</w:t>
      </w:r>
    </w:p>
    <w:p>
      <w:pPr>
        <w:pStyle w:val="PromptBullet"/>
        <w:numPr>
          <w:ilvl w:val="0"/>
          <w:numId w:val="10"/>
        </w:numPr>
      </w:pPr>
      <w:r>
        <w:t>Abra no Codex a pasta que contém o código atual do projeto, não a raiz do WSL nem uma pasta vazia.</w:t>
      </w:r>
    </w:p>
    <w:p>
      <w:pPr>
        <w:pStyle w:val="PromptBullet"/>
        <w:numPr>
          <w:ilvl w:val="0"/>
          <w:numId w:val="10"/>
        </w:numPr>
      </w:pPr>
      <w:r>
        <w:t>Copie um bloco completo, entre INÍCIO DO PROMPT e FIM DO PROMPT. Execute na ordem, começando pela Fase 6.</w:t>
      </w:r>
    </w:p>
    <w:p>
      <w:pPr>
        <w:pStyle w:val="PromptBullet"/>
        <w:numPr>
          <w:ilvl w:val="0"/>
          <w:numId w:val="10"/>
        </w:numPr>
      </w:pPr>
      <w:r>
        <w:t>Preserve o que já funciona. Ao concluir cada fase, confira mudanças, testes e telas; resolva dependências essenciais antes de avançar.</w:t>
      </w:r>
    </w:p>
    <w:p>
      <w:pPr>
        <w:pStyle w:val="PromptBullet"/>
        <w:numPr>
          <w:ilvl w:val="0"/>
          <w:numId w:val="10"/>
        </w:numPr>
      </w:pPr>
      <w:r>
        <w:t>Se frontend_qa estiver configurado, os prompts pedem sua participação. Caso contrário, o Codex deve testar no navegador e informar a limitação. Este documento não instala agentes.</w:t>
      </w:r>
    </w:p>
    <w:p>
      <w:pPr>
        <w:pStyle w:val="PromptBullet"/>
        <w:numPr>
          <w:ilvl w:val="0"/>
          <w:numId w:val="10"/>
        </w:numPr>
      </w:pPr>
      <w:r>
        <w:t>Testes E2E verificam os comportamentos cobertos, não toda mudança possível. A Fase 12 inclui sua execução no fluxo de validação contínua.</w:t>
      </w:r>
    </w:p>
    <w:p>
      <w:pPr>
        <w:pStyle w:val="PromptBullet"/>
        <w:numPr>
          <w:ilvl w:val="0"/>
          <w:numId w:val="10"/>
        </w:numPr>
      </w:pPr>
      <w:r>
        <w:t>Regras acadêmicas, privacidade, integrações e produção exigem aprovação institucional. Uma opção implementada não está automaticamente homologada para o IFPE.</w:t>
      </w:r>
    </w:p>
    <w:p>
      <w:pPr>
        <w:pStyle w:val="Heading2"/>
      </w:pPr>
      <w:r>
        <w:t>Premissas preservadas</w:t>
      </w:r>
    </w:p>
    <w:p>
      <w:pPr/>
      <w:r>
        <w:t>As fases 0 a 5 e os ajustes 4.1 são antecedentes, não entregas revalidadas aqui. Cada prompt exige inspeção do código atual. A base conhecida é Laravel/PHP e Next.js/React; confirme versões, caminhos e comandos no repositório aberto.</w:t>
      </w:r>
    </w:p>
    <w:p>
      <w:pPr/>
      <w:r>
        <w:t>Preserve templates, documentos privados/versionados, análise/decisão, filas e SLA. Vínculo acadêmico não equivale a bloqueio de conta; conclusão não equivale a deferimento; documento disponível não equivale a entregue; aviso de retirada em 90 dias não autoriza excluir dados.</w:t>
      </w:r>
    </w:p>
    <w:p>
      <w:pPr/>
      <w:r>
        <w:t>O formulário recebido é referência de requisitos, não comprovação de vigência normativa. Canais externos, documentos alternativos e ambiguidades dependem da CRADT/IFPE. Não invente protocolo oficial, assinatura ou regra acadêmica.</w:t>
      </w:r>
    </w:p>
    <w:p>
      <w:pPr>
        <w:pStyle w:val="Heading2"/>
      </w:pPr>
      <w:r>
        <w:t>O que significa concluir</w:t>
      </w:r>
    </w:p>
    <w:p>
      <w:pPr/>
      <w:r>
        <w:t>Use quatro estados: implementado; testado localmente; homologado pela instituição; autorizado para produção. Concluir as fases técnicas não substitui aceite institucional nem garante ausência de bugs. O lançamento depende dos critérios da Fase 12.</w:t>
      </w:r>
    </w:p>
    <w:p>
      <w:pPr>
        <w:pStyle w:val="Heading1"/>
        <w:pageBreakBefore/>
        <w:spacing w:before="0"/>
      </w:pPr>
      <w:bookmarkStart w:id="3" w:name="Fase6"/>
      <w:r>
        <w:t>Fase 6 — Notificações internas e por e-mail</w:t>
      </w:r>
      <w:bookmarkEnd w:id="3"/>
    </w:p>
    <w:p>
      <w:pPr>
        <w:pStyle w:val="QuietNote"/>
        <w:keepNext/>
      </w:pPr>
      <w:hyperlink w:anchor="Indice">
        <w:r>
          <w:rPr>
            <w:color w:val="2E74B5"/>
            <w:u w:val="single"/>
          </w:rPr>
          <w:t>Voltar ao mapa das fases</w:t>
        </w:r>
      </w:hyperlink>
    </w:p>
    <w:p>
      <w:pPr>
        <w:pStyle w:val="PromptMarker"/>
        <w:keepNext/>
      </w:pPr>
      <w:r>
        <w:t>INÍCIO DO PROMPT — FASE 6</w:t>
      </w:r>
    </w:p>
    <w:p>
      <w:pPr/>
      <w:r>
        <w:rPr>
          <w:b/>
        </w:rPr>
        <w:t>Tarefa: Fase 6 - Notificações internas e por e-mail.</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dependências</w:t>
      </w:r>
    </w:p>
    <w:p>
      <w:pPr/>
      <w:r>
        <w:t>Implemente comunicação transacional para aluno e equipe a partir dos eventos reais de requerimentos, chat, documentos, encaminhamentos, entrega e SLA. Esta fase depende do histórico e das Policies existentes, incluindo as fases 4.1 e 5. Não recrie esses módulos nem envie mensagens reais durante a implementação.</w:t>
      </w:r>
    </w:p>
    <w:p>
      <w:pPr/>
      <w:r>
        <w:t>O resultado deve incluir central de notificações, contador individual, preferências, entrega por e-mail em fila, tratamento de falhas e testes de ponta a ponta. Fora do escopo: WhatsApp, SMS, push de navegador, campanhas, IA e integrações institucionais novas.</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Eventos e destinatários</w:t>
      </w:r>
    </w:p>
    <w:p>
      <w:pPr>
        <w:pStyle w:val="PromptBullet"/>
        <w:numPr>
          <w:ilvl w:val="0"/>
          <w:numId w:val="10"/>
        </w:numPr>
      </w:pPr>
      <w:r>
        <w:t>Faça uma matriz evento x destinatário x canal x visibilidade. Considere criação confirmada, mensagem pública, documento rejeitado/pendência, mudança pública de etapa, encaminhamento, atribuição, decisão/conclusão, cancelamento, disponibilização e entrega.</w:t>
      </w:r>
    </w:p>
    <w:p>
      <w:pPr>
        <w:pStyle w:val="PromptBullet"/>
        <w:numPr>
          <w:ilvl w:val="0"/>
          <w:numId w:val="10"/>
        </w:numPr>
      </w:pPr>
      <w:r>
        <w:t>Para o aluno, informe somente eventos públicos do próprio requerimento. Para a equipe, selecione responsáveis atualmente elegíveis; se o pedido estiver sem atendente, use grupo/escopo autorizado do setor, sem notificar toda a instituição.</w:t>
      </w:r>
    </w:p>
    <w:p>
      <w:pPr>
        <w:pStyle w:val="PromptBullet"/>
        <w:numPr>
          <w:ilvl w:val="0"/>
          <w:numId w:val="10"/>
        </w:numPr>
      </w:pPr>
      <w:r>
        <w:t>Não notifique o autor sobre a própria mensagem. Evite várias notificações equivalentes quando uma operação gera status, evento e mensagem correlacionados. Diferencie eventos distintos legítimos de repetição técnica do mesmo evento.</w:t>
      </w:r>
    </w:p>
    <w:p>
      <w:pPr>
        <w:pStyle w:val="PromptBullet"/>
        <w:numPr>
          <w:ilvl w:val="0"/>
          <w:numId w:val="10"/>
        </w:numPr>
      </w:pPr>
      <w:r>
        <w:t>Alertas de proximidade e violação de SLA usam os cálculos da Fase 5. Não introduza novo prazo. Cada limiar deve gerar no máximo uma notificação lógica por ciclo/política/destinatário/canal, inclusive em reexecução do scheduler.</w:t>
      </w:r>
    </w:p>
    <w:p>
      <w:pPr>
        <w:pStyle w:val="PromptBullet"/>
        <w:numPr>
          <w:ilvl w:val="0"/>
          <w:numId w:val="10"/>
        </w:numPr>
      </w:pPr>
      <w:r>
        <w:t>Mudança de setor, desativação do usuário ou revogação de permissão deve impedir exposição futura. Revalide destinatário e acesso imediatamente antes do envio assíncrono e antes de exibir detalhes de uma notificação antiga.</w:t>
      </w:r>
    </w:p>
    <w:p>
      <w:pPr>
        <w:pStyle w:val="PromptBullet"/>
        <w:numPr>
          <w:ilvl w:val="0"/>
          <w:numId w:val="10"/>
        </w:numPr>
      </w:pPr>
      <w:r>
        <w:t>Não faça disparo retroativo do histórico inteiro. Adote um marco explícito de ativação. Eventos anteriores ficam somente no histórico, salvo reenvio individual autorizado.</w:t>
      </w:r>
    </w:p>
    <w:p>
      <w:pPr>
        <w:pStyle w:val="Heading2"/>
      </w:pPr>
      <w:r>
        <w:t>Central interna e leitura</w:t>
      </w:r>
    </w:p>
    <w:p>
      <w:pPr>
        <w:pStyle w:val="PromptBullet"/>
        <w:numPr>
          <w:ilvl w:val="0"/>
          <w:numId w:val="10"/>
        </w:numPr>
      </w:pPr>
      <w:r>
        <w:t>Implemente sino/contador, lista paginada, filtros por lidas/não lidas e categoria, detalhe resumido e link para o requerimento autorizado. Mostre data, tipo e estado vazio sem bloquear o restante da aplicação.</w:t>
      </w:r>
    </w:p>
    <w:p>
      <w:pPr>
        <w:pStyle w:val="PromptBullet"/>
        <w:numPr>
          <w:ilvl w:val="0"/>
          <w:numId w:val="10"/>
        </w:numPr>
      </w:pPr>
      <w:r>
        <w:t>Identifique destinatários sem ambiguidade entre alunos e staff, mesmo se tabelas distintas tiverem IDs iguais. Não aceite recipient_id ou recipient_type arbitrário do cliente.</w:t>
      </w:r>
    </w:p>
    <w:p>
      <w:pPr>
        <w:pStyle w:val="PromptBullet"/>
        <w:numPr>
          <w:ilvl w:val="0"/>
          <w:numId w:val="10"/>
        </w:numPr>
      </w:pPr>
      <w:r>
        <w:t>Marcar como lida altera somente a notificação daquele usuário. Marcar todas deve usar um limite temporal/ID da seleção: uma notificação recebida simultaneamente não pode ser marcada sem ter feito parte da ação.</w:t>
      </w:r>
    </w:p>
    <w:p>
      <w:pPr>
        <w:pStyle w:val="PromptBullet"/>
        <w:numPr>
          <w:ilvl w:val="0"/>
          <w:numId w:val="10"/>
        </w:numPr>
      </w:pPr>
      <w:r>
        <w:t>Leitura de notificação não equivale a leitura de mensagem do chat, ciência formal de decisão ou entrega de documento. Preserve contadores e semânticas distintos.</w:t>
      </w:r>
    </w:p>
    <w:p>
      <w:pPr>
        <w:pStyle w:val="PromptBullet"/>
        <w:numPr>
          <w:ilvl w:val="0"/>
          <w:numId w:val="10"/>
        </w:numPr>
      </w:pPr>
      <w:r>
        <w:t>Conteúdo e contagem devem respeitar autorização na API. Ao perder acesso ao recurso, exiba resumo neutro ou suprima o item, sem vazar título, aluno, nota interna ou dados por contadores.</w:t>
      </w:r>
    </w:p>
    <w:p>
      <w:pPr>
        <w:pStyle w:val="PromptBullet"/>
        <w:numPr>
          <w:ilvl w:val="0"/>
          <w:numId w:val="10"/>
        </w:numPr>
      </w:pPr>
      <w:r>
        <w:t>Atualize contador com mecanismo leve existente, preferencialmente polling com limpeza, controle de concorrência e pausa na aba inativa. Não introduza WebSockets só para esta fase.</w:t>
      </w:r>
    </w:p>
    <w:p>
      <w:pPr>
        <w:pStyle w:val="Heading2"/>
      </w:pPr>
      <w:r>
        <w:t>Preferências e endereço de e-mail</w:t>
      </w:r>
    </w:p>
    <w:p>
      <w:pPr>
        <w:pStyle w:val="PromptBullet"/>
        <w:numPr>
          <w:ilvl w:val="0"/>
          <w:numId w:val="10"/>
        </w:numPr>
      </w:pPr>
      <w:r>
        <w:t>Permita preferências por categoria e canal. Documente padrões propostos. Notificação transacional necessária e comunicação opcional não devem ser confundidas com marketing; regras obrigatórias dependem de validação institucional.</w:t>
      </w:r>
    </w:p>
    <w:p>
      <w:pPr>
        <w:pStyle w:val="PromptBullet"/>
        <w:numPr>
          <w:ilvl w:val="0"/>
          <w:numId w:val="10"/>
        </w:numPr>
      </w:pPr>
      <w:r>
        <w:t>Use um destino verificado. Se não houver verificação no projeto, implemente fluxo mínimo com código/link de curta validade, uso único e limitação de tentativas, preservando respostas que não revelem existência de contas.</w:t>
      </w:r>
    </w:p>
    <w:p>
      <w:pPr>
        <w:pStyle w:val="PromptBullet"/>
        <w:numPr>
          <w:ilvl w:val="0"/>
          <w:numId w:val="10"/>
        </w:numPr>
      </w:pPr>
      <w:r>
        <w:t>Mudança de endereço deve invalidar sua verificação. Jobs antigos não podem enviar conteúdo ao endereço anterior ou a um novo endereço ainda não verificado.</w:t>
      </w:r>
    </w:p>
    <w:p>
      <w:pPr>
        <w:pStyle w:val="PromptBullet"/>
        <w:numPr>
          <w:ilvl w:val="0"/>
          <w:numId w:val="10"/>
        </w:numPr>
      </w:pPr>
      <w:r>
        <w:t>Ausência de e-mail verificado não bloqueia acesso ao próprio pedido: mantenha a central interna e explique como configurar o canal.</w:t>
      </w:r>
    </w:p>
    <w:p>
      <w:pPr>
        <w:pStyle w:val="PromptBullet"/>
        <w:numPr>
          <w:ilvl w:val="0"/>
          <w:numId w:val="10"/>
        </w:numPr>
      </w:pPr>
      <w:r>
        <w:t>Nunca peça senha do e-mail estudantil. Não presuma que o domínio institucional por si só comprova identidade ou permissão.</w:t>
      </w:r>
    </w:p>
    <w:p>
      <w:pPr>
        <w:pStyle w:val="Heading2"/>
      </w:pPr>
      <w:r>
        <w:t>Conteúdo e segurança dos e-mails</w:t>
      </w:r>
    </w:p>
    <w:p>
      <w:pPr>
        <w:pStyle w:val="PromptBullet"/>
        <w:numPr>
          <w:ilvl w:val="0"/>
          <w:numId w:val="10"/>
        </w:numPr>
      </w:pPr>
      <w:r>
        <w:t>Prepare mensagens em português com assunto discreto, explicação curta e link autenticado. Não inclua corpo integral do chat, atestado, motivo sensível de rejeição, CPF ou anexos acadêmicos no e-mail.</w:t>
      </w:r>
    </w:p>
    <w:p>
      <w:pPr>
        <w:pStyle w:val="PromptBullet"/>
        <w:numPr>
          <w:ilvl w:val="0"/>
          <w:numId w:val="10"/>
        </w:numPr>
      </w:pPr>
      <w:r>
        <w:t>Use remetente e URL-base configurados no servidor. Não derive links do Host recebido sem validação, nem coloque JWT na URL. O link deve voltar ao destino permitido após login, sem redirecionamento aberto.</w:t>
      </w:r>
    </w:p>
    <w:p>
      <w:pPr>
        <w:pStyle w:val="PromptBullet"/>
        <w:numPr>
          <w:ilvl w:val="0"/>
          <w:numId w:val="10"/>
        </w:numPr>
      </w:pPr>
      <w:r>
        <w:t>Não misture templates de atendimento da Fase 2 com templates transacionais. Escape conteúdo variável e mantenha versão texto simples. Não permita editor que execute código, HTML perigoso ou carregue URLs arbitrárias.</w:t>
      </w:r>
    </w:p>
    <w:p>
      <w:pPr>
        <w:pStyle w:val="PromptBullet"/>
        <w:numPr>
          <w:ilvl w:val="0"/>
          <w:numId w:val="10"/>
        </w:numPr>
      </w:pPr>
      <w:r>
        <w:t>Não use pixels de abertura como prova de leitura. Aceite do provedor não comprova entrega na caixa postal, abertura ou ciência jurídica.</w:t>
      </w:r>
    </w:p>
    <w:p>
      <w:pPr>
        <w:pStyle w:val="Heading2"/>
      </w:pPr>
      <w:r>
        <w:t>Transações, fila e idempotência</w:t>
      </w:r>
    </w:p>
    <w:p>
      <w:pPr>
        <w:pStyle w:val="PromptBullet"/>
        <w:numPr>
          <w:ilvl w:val="0"/>
          <w:numId w:val="10"/>
        </w:numPr>
      </w:pPr>
      <w:r>
        <w:t>Utilize mecanismos nativos compatíveis com a versão instalada do Laravel. Enfileire somente após commit. Se necessário para evitar perda entre commit e enqueue, utilize uma outbox mínima persistida na mesma transação e processada de forma retomável.</w:t>
      </w:r>
    </w:p>
    <w:p>
      <w:pPr>
        <w:pStyle w:val="PromptBullet"/>
        <w:numPr>
          <w:ilvl w:val="0"/>
          <w:numId w:val="10"/>
        </w:numPr>
      </w:pPr>
      <w:r>
        <w:t>Tenha chave única de entrega lógica por evento/destinatário/canal. Jobs concorrentes e retries não podem duplicar notificações internas. Separe estado de criação, pendência de envio, aceito pelo transporte, falha, ignorado por preferência e suprimido por revogação.</w:t>
      </w:r>
    </w:p>
    <w:p>
      <w:pPr>
        <w:pStyle w:val="PromptBullet"/>
        <w:numPr>
          <w:ilvl w:val="0"/>
          <w:numId w:val="10"/>
        </w:numPr>
      </w:pPr>
      <w:r>
        <w:t>Envio externo não possui garantia universal de exatamente uma vez: trate timeout ambíguo, armazene ID do provedor quando existir e documente o risco residual. Não alegue garantia impossível.</w:t>
      </w:r>
    </w:p>
    <w:p>
      <w:pPr>
        <w:pStyle w:val="PromptBullet"/>
        <w:numPr>
          <w:ilvl w:val="0"/>
          <w:numId w:val="10"/>
        </w:numPr>
      </w:pPr>
      <w:r>
        <w:t>Falha de e-mail não desfaz requerimento, mensagem ou decisão já confirmados. Configure retries limitados, backoff, diagnóstico seguro e reprocessamento autorizado sem repetir a operação acadêmica.</w:t>
      </w:r>
    </w:p>
    <w:p>
      <w:pPr>
        <w:pStyle w:val="PromptBullet"/>
        <w:numPr>
          <w:ilvl w:val="0"/>
          <w:numId w:val="10"/>
        </w:numPr>
      </w:pPr>
      <w:r>
        <w:t>Crie visibilidade operacional mínima para falhas e backlog, restrita a quem precisa operar o serviço. A TI pode ver metadados de transporte sem acessar conteúdo acadêmico.</w:t>
      </w:r>
    </w:p>
    <w:p>
      <w:pPr>
        <w:pStyle w:val="PromptBullet"/>
        <w:numPr>
          <w:ilvl w:val="0"/>
          <w:numId w:val="10"/>
        </w:numPr>
      </w:pPr>
      <w:r>
        <w:t>Preserve mailers existentes de login/recuperação. Não registre corpos ou credenciais nos logs de fila. Se não houver SMTP autorizado, use captura local/fakes; a integração real fica pendente.</w:t>
      </w:r>
    </w:p>
    <w:p>
      <w:pPr>
        <w:pStyle w:val="Heading2"/>
      </w:pPr>
      <w:r>
        <w:t>Contrato, compatibilidade e testes</w:t>
      </w:r>
    </w:p>
    <w:p>
      <w:pPr>
        <w:pStyle w:val="PromptBullet"/>
        <w:numPr>
          <w:ilvl w:val="0"/>
          <w:numId w:val="10"/>
        </w:numPr>
      </w:pPr>
      <w:r>
        <w:t>Reutilize Notifications, models e rotas existentes quando suficientes. Implemente operações equivalentes a listar, contar, marcar individualmente/todas e gerir preferências; acrescente índices para destinatário, leitura, criação e chave idempotente.</w:t>
      </w:r>
    </w:p>
    <w:p>
      <w:pPr>
        <w:pStyle w:val="PromptBullet"/>
        <w:numPr>
          <w:ilvl w:val="0"/>
          <w:numId w:val="10"/>
        </w:numPr>
      </w:pPr>
      <w:r>
        <w:t>Cubra evento com rollback sem envio; reexecução/concorrência sem duplicação; mensagem própria sem aviso; notas internas ausentes da API/e-mail do aluno; ID de outro usuário bloqueado; perfis de tabelas diferentes isolados; troca de setor e endereço antes do job; preferência respeitada; falha de SMTP sem desfazer pedido; e-mail sem anexos/token; marco de ativação sem avalanche histórica.</w:t>
      </w:r>
    </w:p>
    <w:p>
      <w:pPr>
        <w:pStyle w:val="PromptBullet"/>
        <w:numPr>
          <w:ilvl w:val="0"/>
          <w:numId w:val="10"/>
        </w:numPr>
      </w:pPr>
      <w:r>
        <w:t>Teste leitura em duas abas e corrida de marcar todas; contadores de chat independentes; alerta de SLA único; cancelado/concluído sem alertas operacionais indevidos; requisições paginadas e erro de rede com recuperação.</w:t>
      </w:r>
    </w:p>
    <w:p>
      <w:pPr>
        <w:pStyle w:val="PromptBullet"/>
        <w:numPr>
          <w:ilvl w:val="0"/>
          <w:numId w:val="10"/>
        </w:numPr>
      </w:pPr>
      <w:r>
        <w:t>Cenário E2E: CRADT responde em sessão separada, aluno recebe aviso interno, abre o pedido, responde, muda preferência e acompanha atualização. Simule transporte falho e confirme funcionamento da central. Use capturador local para inspecionar e-mail renderizado, sem destinatário real.</w:t>
      </w:r>
    </w:p>
    <w:p>
      <w:pPr>
        <w:pStyle w:val="PromptBullet"/>
        <w:numPr>
          <w:ilvl w:val="0"/>
          <w:numId w:val="10"/>
        </w:numPr>
      </w:pPr>
      <w:r>
        <w:t>Critério específico: avisos corretos, privados e não duplicados; central utilizável no desktop/celular; preferências respeitadas; fila recuperável; worker/scheduler documentados; homologação do canal real explicitamente separada do teste local.</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6</w:t>
      </w:r>
    </w:p>
    <w:p>
      <w:pPr>
        <w:pStyle w:val="Heading1"/>
        <w:pageBreakBefore/>
        <w:spacing w:before="0"/>
      </w:pPr>
      <w:bookmarkStart w:id="4" w:name="Fase7"/>
      <w:r>
        <w:t>Fase 7 — Formulários dinâmicos, rascunhos e prevenção de duplicidade</w:t>
      </w:r>
      <w:bookmarkEnd w:id="4"/>
    </w:p>
    <w:p>
      <w:pPr>
        <w:pStyle w:val="QuietNote"/>
        <w:keepNext/>
      </w:pPr>
      <w:hyperlink w:anchor="Indice">
        <w:r>
          <w:rPr>
            <w:color w:val="2E74B5"/>
            <w:u w:val="single"/>
          </w:rPr>
          <w:t>Voltar ao mapa das fases</w:t>
        </w:r>
      </w:hyperlink>
    </w:p>
    <w:p>
      <w:pPr>
        <w:pStyle w:val="PromptMarker"/>
        <w:keepNext/>
      </w:pPr>
      <w:r>
        <w:t>INÍCIO DO PROMPT — FASE 7</w:t>
      </w:r>
    </w:p>
    <w:p>
      <w:pPr/>
      <w:r>
        <w:rPr>
          <w:b/>
        </w:rPr>
        <w:t>Tarefa: Fase 7 - Formulários dinâmicos, rascunhos e prevenção de duplicidade.</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dependências</w:t>
      </w:r>
    </w:p>
    <w:p>
      <w:pPr/>
      <w:r>
        <w:t>Complete os campos condicionais antecipados na Fase 4.1 até obter formulários configuráveis e versionados por serviço, salvamento de rascunhos e envio confiável sem duplicação. Preserve os 33 serviços mapeados, exigências alternativas da Fase 3/4.1 e canais de entrada. Não reconstrua todo o atendimento.</w:t>
      </w:r>
    </w:p>
    <w:p>
      <w:pPr/>
      <w:r>
        <w:t>Entregue um editor administrativo simples, sem canvas de workflow, linguagem de programação ou IA. Não implemente novas regras institucionais, integração acadêmica, processamento de documentos por OCR ou preenchimento com dados externos.</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Esquema de formulário e publicação</w:t>
      </w:r>
    </w:p>
    <w:p>
      <w:pPr>
        <w:pStyle w:val="PromptBullet"/>
        <w:numPr>
          <w:ilvl w:val="0"/>
          <w:numId w:val="10"/>
        </w:numPr>
      </w:pPr>
      <w:r>
        <w:t>Reutilize schemas e campos existentes; cada campo tem chave técnica estável, rótulo, tipo, instrução, ordem, obrigatoriedade, limites e visibilidade. Comece com texto curto/longo, número, data, seleção simples/múltipla, booleano e conjunto repetível de disciplinas.</w:t>
      </w:r>
    </w:p>
    <w:p>
      <w:pPr>
        <w:pStyle w:val="PromptBullet"/>
        <w:numPr>
          <w:ilvl w:val="0"/>
          <w:numId w:val="10"/>
        </w:numPr>
      </w:pPr>
      <w:r>
        <w:t>Não duplique upload no construtor: um campo documental referencia o mecanismo de exigências e arquivos privados. Preserve restrição de original/autenticidade quando homologada.</w:t>
      </w:r>
    </w:p>
    <w:p>
      <w:pPr>
        <w:pStyle w:val="PromptBullet"/>
        <w:numPr>
          <w:ilvl w:val="0"/>
          <w:numId w:val="10"/>
        </w:numPr>
      </w:pPr>
      <w:r>
        <w:t>Condições devem ser dados limitados: igualdade, participação em lista e presença de valor, combinados com todos/qualquer quando necessário. Proíba eval, SQL, regex arbitrária e execução de scripts; detecte ciclos e referências inexistentes.</w:t>
      </w:r>
    </w:p>
    <w:p>
      <w:pPr>
        <w:pStyle w:val="PromptBullet"/>
        <w:numPr>
          <w:ilvl w:val="0"/>
          <w:numId w:val="10"/>
        </w:numPr>
      </w:pPr>
      <w:r>
        <w:t>Valide no servidor, a partir de versão publicada e imutável. Tipo, limites, obrigatoriedade e elegibilidade não podem ser definidos pelo cliente. Rejeite campos desconhecidos e atributos reservados de dono, status, decisão ou campus.</w:t>
      </w:r>
    </w:p>
    <w:p>
      <w:pPr>
        <w:pStyle w:val="PromptBullet"/>
        <w:numPr>
          <w:ilvl w:val="0"/>
          <w:numId w:val="10"/>
        </w:numPr>
      </w:pPr>
      <w:r>
        <w:t>Separe rascunho administrativo, publicado e desativado. Editar uma versão publicada cria nova versão, com comparação antes de publicar. Mostre impacto em novos pedidos e rascunhos sem alterar solicitações enviadas.</w:t>
      </w:r>
    </w:p>
    <w:p>
      <w:pPr>
        <w:pStyle w:val="PromptBullet"/>
        <w:numPr>
          <w:ilvl w:val="0"/>
          <w:numId w:val="10"/>
        </w:numPr>
      </w:pPr>
      <w:r>
        <w:t>Faça preview administrativo com dados fictícios e sem gravar requerimento real. Somente perfil autorizado no escopo publica. Registre autor, data e diferença de configuração.</w:t>
      </w:r>
    </w:p>
    <w:p>
      <w:pPr>
        <w:pStyle w:val="PromptBullet"/>
        <w:numPr>
          <w:ilvl w:val="0"/>
          <w:numId w:val="10"/>
        </w:numPr>
      </w:pPr>
      <w:r>
        <w:t>Regras documentais ambíguas, assinatura, Protocolo Geral e elegibilidade pendentes continuam dependentes de homologação. Não publique um schema para contornar essas pendências.</w:t>
      </w:r>
    </w:p>
    <w:p>
      <w:pPr>
        <w:pStyle w:val="Heading2"/>
      </w:pPr>
      <w:r>
        <w:t>Interface de preenchimento</w:t>
      </w:r>
    </w:p>
    <w:p>
      <w:pPr>
        <w:pStyle w:val="PromptBullet"/>
        <w:numPr>
          <w:ilvl w:val="0"/>
          <w:numId w:val="10"/>
        </w:numPr>
      </w:pPr>
      <w:r>
        <w:t>Renderize o schema no front-end com labels, ajuda contextual, erros por campo e resumo de erros focável. Campos condicionais aparecem conforme respostas; confirmação final mostra dados e anexos pertinentes antes do envio.</w:t>
      </w:r>
    </w:p>
    <w:p>
      <w:pPr>
        <w:pStyle w:val="PromptBullet"/>
        <w:numPr>
          <w:ilvl w:val="0"/>
          <w:numId w:val="10"/>
        </w:numPr>
      </w:pPr>
      <w:r>
        <w:t>Quando um campo fica inaplicável, não envie seu valor silenciosamente nem o retenha como resposta ativa. Se a ação descartar informação já digitada, avise e permita desfazer antes de confirmar. No servidor, dados inaplicáveis não satisfazem exigências.</w:t>
      </w:r>
    </w:p>
    <w:p>
      <w:pPr>
        <w:pStyle w:val="PromptBullet"/>
        <w:numPr>
          <w:ilvl w:val="0"/>
          <w:numId w:val="10"/>
        </w:numPr>
      </w:pPr>
      <w:r>
        <w:t>Preencha dados conhecidos do vínculo autorizado sem exigir redigitação. Identifique origem/verificação. Graduados e desvinculados continuam com acesso ao histórico e aos serviços elegíveis.</w:t>
      </w:r>
    </w:p>
    <w:p>
      <w:pPr>
        <w:pStyle w:val="PromptBullet"/>
        <w:numPr>
          <w:ilvl w:val="0"/>
          <w:numId w:val="10"/>
        </w:numPr>
      </w:pPr>
      <w:r>
        <w:t>Coleções por disciplina devem ter limites de linhas e validação por item, sem permitir alteração dos campos internos da coordenação. Preserve a versão do schema e respostas na abertura.</w:t>
      </w:r>
    </w:p>
    <w:p>
      <w:pPr>
        <w:pStyle w:val="PromptBullet"/>
        <w:numPr>
          <w:ilvl w:val="0"/>
          <w:numId w:val="10"/>
        </w:numPr>
      </w:pPr>
      <w:r>
        <w:t>Não adicione campos obrigatórios não justificados, como RG ou informações familiares em todos os serviços. Configurações de coleta dependem da governança da Fase 9.</w:t>
      </w:r>
    </w:p>
    <w:p>
      <w:pPr>
        <w:pStyle w:val="Heading2"/>
      </w:pPr>
      <w:r>
        <w:t>Rascunhos do solicitante</w:t>
      </w:r>
    </w:p>
    <w:p>
      <w:pPr>
        <w:pStyle w:val="PromptBullet"/>
        <w:numPr>
          <w:ilvl w:val="0"/>
          <w:numId w:val="10"/>
        </w:numPr>
      </w:pPr>
      <w:r>
        <w:t>Rascunho pertence a usuário e vínculo selecionado, referencia serviço e versão do formulário. Não gera protocolo, SLA, fila de atendimento, decisão ou notificação de abertura.</w:t>
      </w:r>
    </w:p>
    <w:p>
      <w:pPr>
        <w:pStyle w:val="PromptBullet"/>
        <w:numPr>
          <w:ilvl w:val="0"/>
          <w:numId w:val="10"/>
        </w:numPr>
      </w:pPr>
      <w:r>
        <w:t>Permita criar, listar, continuar, salvar e descartar apenas os próprios rascunhos. Mostre última gravação confirmada e estados salvando, salvo, erro e conflito. Não anuncie salvamento antes de resposta do servidor.</w:t>
      </w:r>
    </w:p>
    <w:p>
      <w:pPr>
        <w:pStyle w:val="PromptBullet"/>
        <w:numPr>
          <w:ilvl w:val="0"/>
          <w:numId w:val="10"/>
        </w:numPr>
      </w:pPr>
      <w:r>
        <w:t>Autosave deve usar debounce e controlar requisições fora de ordem. Tenha versão/ETag ou equivalente para impedir que duas abas sobrescrevam dados. Em conflito, preserve conteúdo local e ofereça recarregar/conciliar explicitamente.</w:t>
      </w:r>
    </w:p>
    <w:p>
      <w:pPr>
        <w:pStyle w:val="PromptBullet"/>
        <w:numPr>
          <w:ilvl w:val="0"/>
          <w:numId w:val="10"/>
        </w:numPr>
      </w:pPr>
      <w:r>
        <w:t>Evite guardar documentos, CPF e respostas sensíveis em localStorage para sobreviver a logout. Prefira rascunho no servidor; informe perda potencial se sessão expirar ou conexão cair, com reautenticação segura.</w:t>
      </w:r>
    </w:p>
    <w:p>
      <w:pPr>
        <w:pStyle w:val="PromptBullet"/>
        <w:numPr>
          <w:ilvl w:val="0"/>
          <w:numId w:val="10"/>
        </w:numPr>
      </w:pPr>
      <w:r>
        <w:t>Upload de rascunho fica privado e vinculado ao proprietário. Não deixe limpeza de temporários remover arquivos de um rascunho válido. Descarte lógico e limpeza física devem seguir política de retenção aprovada; não criar exclusão automática arbitrária.</w:t>
      </w:r>
    </w:p>
    <w:p>
      <w:pPr>
        <w:pStyle w:val="PromptBullet"/>
        <w:numPr>
          <w:ilvl w:val="0"/>
          <w:numId w:val="10"/>
        </w:numPr>
      </w:pPr>
      <w:r>
        <w:t>Se mudar serviço ou vínculo, faça transição explícita: remapeie apenas campos compatíveis e não carregue anexos para exigências diferentes sem revisão.</w:t>
      </w:r>
    </w:p>
    <w:p>
      <w:pPr>
        <w:pStyle w:val="Heading2"/>
      </w:pPr>
      <w:r>
        <w:t>Versões enquanto existe rascunho</w:t>
      </w:r>
    </w:p>
    <w:p>
      <w:pPr>
        <w:pStyle w:val="PromptBullet"/>
        <w:numPr>
          <w:ilvl w:val="0"/>
          <w:numId w:val="10"/>
        </w:numPr>
      </w:pPr>
      <w:r>
        <w:t>Defina uma política explícita: por padrão, ao enviar, confira se a versão continua aceita. Se foi substituída, mostre mudanças e preserve respostas; remapeie por chaves estáveis compatíveis e peça somente novos itens pertinentes.</w:t>
      </w:r>
    </w:p>
    <w:p>
      <w:pPr>
        <w:pStyle w:val="PromptBullet"/>
        <w:numPr>
          <w:ilvl w:val="0"/>
          <w:numId w:val="10"/>
        </w:numPr>
      </w:pPr>
      <w:r>
        <w:t>Não converta automaticamente resposta incompatível nem gere pedido numa versão revogada por requisito obrigatório. A política de aceitação de versões anteriores precisa ser configurada e documentada, não decidida silenciosamente.</w:t>
      </w:r>
    </w:p>
    <w:p>
      <w:pPr>
        <w:pStyle w:val="PromptBullet"/>
        <w:numPr>
          <w:ilvl w:val="0"/>
          <w:numId w:val="10"/>
        </w:numPr>
      </w:pPr>
      <w:r>
        <w:t>Solicitações já enviadas continuam na versão original. Não invalide seus documentos nem recalcule obrigações retroativamente.</w:t>
      </w:r>
    </w:p>
    <w:p>
      <w:pPr>
        <w:pStyle w:val="PromptBullet"/>
        <w:numPr>
          <w:ilvl w:val="0"/>
          <w:numId w:val="10"/>
        </w:numPr>
      </w:pPr>
      <w:r>
        <w:t>Serviço desativado, período encerrado ou elegibilidade alterada bloqueia novo envio conforme regra vigente, mas preserva rascunho e explica o motivo. A janela temporal completa será gerida na Fase 11; integre o que já existir.</w:t>
      </w:r>
    </w:p>
    <w:p>
      <w:pPr>
        <w:pStyle w:val="Heading2"/>
      </w:pPr>
      <w:r>
        <w:t>Envio atômico e repetição técnica</w:t>
      </w:r>
    </w:p>
    <w:p>
      <w:pPr>
        <w:pStyle w:val="PromptBullet"/>
        <w:numPr>
          <w:ilvl w:val="0"/>
          <w:numId w:val="10"/>
        </w:numPr>
      </w:pPr>
      <w:r>
        <w:t>Na confirmação, revalide autenticação, vínculo, serviço/canal, versão aceita, campos, grupos documentais, quotas e permissão de reutilização de arquivos. Rascunho não constitui aprovação dessas validações.</w:t>
      </w:r>
    </w:p>
    <w:p>
      <w:pPr>
        <w:pStyle w:val="PromptBullet"/>
        <w:numPr>
          <w:ilvl w:val="0"/>
          <w:numId w:val="10"/>
        </w:numPr>
      </w:pPr>
      <w:r>
        <w:t>Gere protocolo e inicialize SLA/eventos somente após a validação final. Crie requerimento, snapshot e vínculos em transação. Notificações da Fase 6 são acionadas após commit.</w:t>
      </w:r>
    </w:p>
    <w:p>
      <w:pPr>
        <w:pStyle w:val="PromptBullet"/>
        <w:numPr>
          <w:ilvl w:val="0"/>
          <w:numId w:val="10"/>
        </w:numPr>
      </w:pPr>
      <w:r>
        <w:t>Use chave de idempotência no envio, delimitada por usuário e operação. Mesma chave e mesmo payload retorna o mesmo requerimento; mesma chave com payload diferente deve retornar conflito. Proteja concorrência com restrição no banco, não apenas botão desabilitado.</w:t>
      </w:r>
    </w:p>
    <w:p>
      <w:pPr>
        <w:pStyle w:val="PromptBullet"/>
        <w:numPr>
          <w:ilvl w:val="0"/>
          <w:numId w:val="10"/>
        </w:numPr>
      </w:pPr>
      <w:r>
        <w:t>Marque o rascunho como enviado e vincule o resultado. Retry após timeout não cria novo protocolo. Arquivos e banco precisam de compensação segura em falha; não apague anexos de operação anterior confirmada.</w:t>
      </w:r>
    </w:p>
    <w:p>
      <w:pPr>
        <w:pStyle w:val="Heading2"/>
      </w:pPr>
      <w:r>
        <w:t>Duplicidade de negócio</w:t>
      </w:r>
    </w:p>
    <w:p>
      <w:pPr>
        <w:pStyle w:val="PromptBullet"/>
        <w:numPr>
          <w:ilvl w:val="0"/>
          <w:numId w:val="10"/>
        </w:numPr>
      </w:pPr>
      <w:r>
        <w:t>Separe duplo clique/retry de duas solicitações semanticamente semelhantes. Use regra configurável por serviço e vínculo: pode envolver disciplina, período letivo, via do diploma ou finalidade. Apenas mesmo tipo não basta.</w:t>
      </w:r>
    </w:p>
    <w:p>
      <w:pPr>
        <w:pStyle w:val="PromptBullet"/>
        <w:numPr>
          <w:ilvl w:val="0"/>
          <w:numId w:val="10"/>
        </w:numPr>
      </w:pPr>
      <w:r>
        <w:t>Por padrão, avise sobre pedido semelhante aberto e ofereça consulta ao existente; bloqueio duro depende de regra homologada. Se exceção for permitida, exija justificativa e registre-a sem apagar pedido anterior.</w:t>
      </w:r>
    </w:p>
    <w:p>
      <w:pPr>
        <w:pStyle w:val="PromptBullet"/>
        <w:numPr>
          <w:ilvl w:val="0"/>
          <w:numId w:val="10"/>
        </w:numPr>
      </w:pPr>
      <w:r>
        <w:t>A verificação retorna somente os próprios protocolos acessíveis. Não permita descobrir pedidos de outro aluno por CPF, curso ou chaves semelhantes.</w:t>
      </w:r>
    </w:p>
    <w:p>
      <w:pPr>
        <w:pStyle w:val="PromptBullet"/>
        <w:numPr>
          <w:ilvl w:val="0"/>
          <w:numId w:val="10"/>
        </w:numPr>
      </w:pPr>
      <w:r>
        <w:t>Realize verificação final dentro de mecanismo concorrente coerente. Não imponha índice único universal que impeça pedidos legítimos recorrentes. Não una nem encerre pedidos automaticamente.</w:t>
      </w:r>
    </w:p>
    <w:p>
      <w:pPr>
        <w:pStyle w:val="Heading2"/>
      </w:pPr>
      <w:r>
        <w:t>API, dados legados e testes</w:t>
      </w:r>
    </w:p>
    <w:p>
      <w:pPr>
        <w:pStyle w:val="PromptBullet"/>
        <w:numPr>
          <w:ilvl w:val="0"/>
          <w:numId w:val="10"/>
        </w:numPr>
      </w:pPr>
      <w:r>
        <w:t>Documente endpoints de schema publicado/preview, versões administrativas, rascunhos, envio idempotente e consulta de possível duplicidade. A API retorna regras e capacidades efetivas sem vazar configuração interna desnecessária.</w:t>
      </w:r>
    </w:p>
    <w:p>
      <w:pPr>
        <w:pStyle w:val="PromptBullet"/>
        <w:numPr>
          <w:ilvl w:val="0"/>
          <w:numId w:val="10"/>
        </w:numPr>
      </w:pPr>
      <w:r>
        <w:t>Migre configurações existentes para versões explícitas sem perder IDs. Use adaptador para pedidos antigos de assunto/descrição; não invente respostas estruturadas nem obrigue atualização do legado.</w:t>
      </w:r>
    </w:p>
    <w:p>
      <w:pPr>
        <w:pStyle w:val="PromptBullet"/>
        <w:numPr>
          <w:ilvl w:val="0"/>
          <w:numId w:val="10"/>
        </w:numPr>
      </w:pPr>
      <w:r>
        <w:t>Teste publicação imutável; chave estável; condição com ciclo; campo oculto/forjado; propriedade do rascunho/anexo; duas abas; autosave fora de ordem; troca de serviço; expiração da sessão; limpeza protegendo rascunho; esquema atualizado mantendo dados; graduado elegível; canal externo sem protocolo.</w:t>
      </w:r>
    </w:p>
    <w:p>
      <w:pPr>
        <w:pStyle w:val="PromptBullet"/>
        <w:numPr>
          <w:ilvl w:val="0"/>
          <w:numId w:val="10"/>
        </w:numPr>
      </w:pPr>
      <w:r>
        <w:t>Teste dois envios simultâneos; retry com mesmo payload; mesma chave com payload diferente; rollback sem aviso; tipo igual com períodos diferentes legítimos; duplicidade real alertada; tentativa de consultar pedido alheio; exceção autorizada rastreada.</w:t>
      </w:r>
    </w:p>
    <w:p>
      <w:pPr>
        <w:pStyle w:val="PromptBullet"/>
        <w:numPr>
          <w:ilvl w:val="0"/>
          <w:numId w:val="10"/>
        </w:numPr>
      </w:pPr>
      <w:r>
        <w:t>Cenário E2E: configure versão fictícia, aluno inicia no celular, salva, retoma no desktop, preenche coleção de disciplinas e grupo documental, revisa resumo, envia e recarrega. Publique nova versão para testar retomada de outro rascunho sem perder dados. Inspecione erro de rede e preservação do texto.</w:t>
      </w:r>
    </w:p>
    <w:p>
      <w:pPr>
        <w:pStyle w:val="PromptBullet"/>
        <w:numPr>
          <w:ilvl w:val="0"/>
          <w:numId w:val="10"/>
        </w:numPr>
      </w:pPr>
      <w:r>
        <w:t>Critério específico: nenhum rascunho abre SLA; formulário reflete versão publicada; validação do servidor resiste a manipulação; envio gera um único protocolo; dados e anexos persistem; duplicidade legítima não é confundida com retry; versões antigas permanecem legíveis.</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7</w:t>
      </w:r>
    </w:p>
    <w:p>
      <w:pPr>
        <w:pStyle w:val="Heading1"/>
        <w:pageBreakBefore/>
        <w:spacing w:before="0"/>
      </w:pPr>
      <w:bookmarkStart w:id="5" w:name="Fase8"/>
      <w:r>
        <w:t>Fase 8 — Permissões granulares e isolamento institucional</w:t>
      </w:r>
      <w:bookmarkEnd w:id="5"/>
    </w:p>
    <w:p>
      <w:pPr>
        <w:pStyle w:val="QuietNote"/>
        <w:keepNext/>
      </w:pPr>
      <w:hyperlink w:anchor="Indice">
        <w:r>
          <w:rPr>
            <w:color w:val="2E74B5"/>
            <w:u w:val="single"/>
          </w:rPr>
          <w:t>Voltar ao mapa das fases</w:t>
        </w:r>
      </w:hyperlink>
    </w:p>
    <w:p>
      <w:pPr>
        <w:pStyle w:val="PromptMarker"/>
        <w:keepNext/>
      </w:pPr>
      <w:r>
        <w:t>INÍCIO DO PROMPT — FASE 8</w:t>
      </w:r>
    </w:p>
    <w:p>
      <w:pPr/>
      <w:r>
        <w:rPr>
          <w:b/>
        </w:rPr>
        <w:t>Tarefa: Fase 8 - Permissões granulares e isolamento institucional.</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dependências</w:t>
      </w:r>
    </w:p>
    <w:p>
      <w:pPr/>
      <w:r>
        <w:t>Consolide autorização por ação e por escopo institucional, permitindo operação por campus, curso e setor sem exposição entre equipes. Reutilize guards, autenticação, Policies e cadastros existentes. Esta fase não deve recriar login, impor uma biblioteca de permissões sem necessidade ou transformar todo staff em administrador.</w:t>
      </w:r>
    </w:p>
    <w:p>
      <w:pPr/>
      <w:r>
        <w:t>Entregue matriz de permissões executável, gestão segura de vínculos de acesso, restrições em todos os recursos e concessões temporárias auditadas. Preserve acesso do solicitante ao próprio histórico mesmo quando sua situação acadêmica mudar.</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Matriz de papéis, ações e escopos</w:t>
      </w:r>
    </w:p>
    <w:p>
      <w:pPr>
        <w:pStyle w:val="PromptBullet"/>
        <w:numPr>
          <w:ilvl w:val="0"/>
          <w:numId w:val="10"/>
        </w:numPr>
      </w:pPr>
      <w:r>
        <w:t>Levante papéis reais e nomes usados no código. Use como candidatos, sujeitos a confirmação: aluno, atendente/CRADT, coordenação, gestor de setor, administrador de campus, administrador institucional e operador técnico. Não crie contas nem conceda poderes reais automaticamente.</w:t>
      </w:r>
    </w:p>
    <w:p>
      <w:pPr>
        <w:pStyle w:val="PromptBullet"/>
        <w:numPr>
          <w:ilvl w:val="0"/>
          <w:numId w:val="10"/>
        </w:numPr>
      </w:pPr>
      <w:r>
        <w:t>Separe capacidades: consultar pedido; atender/responder; escrever nota interna; revisar documento; encaminhar; assumir/atribuir; emitir parecer; decidir; reabrir/cancelar; gerir catálogo/templates/formulários/SLA; publicar configuração; gerir acesso; consultar auditoria; gerar exportação.</w:t>
      </w:r>
    </w:p>
    <w:p>
      <w:pPr>
        <w:pStyle w:val="PromptBullet"/>
        <w:numPr>
          <w:ilvl w:val="0"/>
          <w:numId w:val="10"/>
        </w:numPr>
      </w:pPr>
      <w:r>
        <w:t>Modele o escopo da concessão, não apenas o nome do papel. Um atendente de um campus não recebe acesso geral por compartilhar o mesmo papel de outro campus. Defina de forma inequívoca se a concessão cobre campus inteiro, cursos selecionados ou setores específicos.</w:t>
      </w:r>
    </w:p>
    <w:p>
      <w:pPr>
        <w:pStyle w:val="PromptBullet"/>
        <w:numPr>
          <w:ilvl w:val="0"/>
          <w:numId w:val="10"/>
        </w:numPr>
      </w:pPr>
      <w:r>
        <w:t>Permissão efetiva deve combinar capacidade e escopo da mesma concessão válida. Não combine uma capacidade obtida no campus A com um escopo sem essa capacidade no campus B para criar autorização inexistente.</w:t>
      </w:r>
    </w:p>
    <w:p>
      <w:pPr>
        <w:pStyle w:val="PromptBullet"/>
        <w:numPr>
          <w:ilvl w:val="0"/>
          <w:numId w:val="10"/>
        </w:numPr>
      </w:pPr>
      <w:r>
        <w:t>Considere atribuição, setor atual, participação histórica e substituição, mas não presuma que participação antiga autoriza acesso indefinido. Defina visibilidade pública e interna separadamente.</w:t>
      </w:r>
    </w:p>
    <w:p>
      <w:pPr>
        <w:pStyle w:val="PromptBullet"/>
        <w:numPr>
          <w:ilvl w:val="0"/>
          <w:numId w:val="10"/>
        </w:numPr>
      </w:pPr>
      <w:r>
        <w:t>Administrador de campus não pode conceder papel institucional, ampliar o próprio escopo ou delegar capacidade superior à que pode administrar. Operador de infraestrutura não deve receber leitura acadêmica por padrão.</w:t>
      </w:r>
    </w:p>
    <w:p>
      <w:pPr>
        <w:pStyle w:val="PromptBullet"/>
        <w:numPr>
          <w:ilvl w:val="0"/>
          <w:numId w:val="10"/>
        </w:numPr>
      </w:pPr>
      <w:r>
        <w:t>Explique precedência de concessões, revogação, validade temporal e eventuais restrições explícitas. Prefira modelo simples, testável e de negação por padrão a regras implícitas espalhadas em controllers.</w:t>
      </w:r>
    </w:p>
    <w:p>
      <w:pPr>
        <w:pStyle w:val="Heading2"/>
      </w:pPr>
      <w:r>
        <w:t>Cadastros institucionais e vínculos</w:t>
      </w:r>
    </w:p>
    <w:p>
      <w:pPr>
        <w:pStyle w:val="PromptBullet"/>
        <w:numPr>
          <w:ilvl w:val="0"/>
          <w:numId w:val="10"/>
        </w:numPr>
      </w:pPr>
      <w:r>
        <w:t>Reutilize campus, curso, setor e vínculo acadêmico existentes. Adicione apenas relações ausentes e identificadores estáveis. Nomes iguais em campi distintos não representam a mesma entidade.</w:t>
      </w:r>
    </w:p>
    <w:p>
      <w:pPr>
        <w:pStyle w:val="PromptBullet"/>
        <w:numPr>
          <w:ilvl w:val="0"/>
          <w:numId w:val="10"/>
        </w:numPr>
      </w:pPr>
      <w:r>
        <w:t>Um usuário pode ter mais de um vínculo; o pedido preserva snapshot do vínculo na abertura. Trocar curso ou campus atual não reescreve o histórico nem transfere automaticamente pedidos antigos.</w:t>
      </w:r>
    </w:p>
    <w:p>
      <w:pPr>
        <w:pStyle w:val="PromptBullet"/>
        <w:numPr>
          <w:ilvl w:val="0"/>
          <w:numId w:val="10"/>
        </w:numPr>
      </w:pPr>
      <w:r>
        <w:t>Distinga situação acadêmica, vínculo de trabalho, papel de acesso e bloqueio de conta. Graduado ou desvinculado pode continuar autenticando e solicitando serviços elegíveis; isso não concede acesso a outros vínculos.</w:t>
      </w:r>
    </w:p>
    <w:p>
      <w:pPr>
        <w:pStyle w:val="PromptBullet"/>
        <w:numPr>
          <w:ilvl w:val="0"/>
          <w:numId w:val="10"/>
        </w:numPr>
      </w:pPr>
      <w:r>
        <w:t>Encaminhamento entre setores ou campi exige regra explícita: destino permitido, justificativa quando necessária e rastreio. Não amplie acesso apenas porque foi enviado um ID de destino válido.</w:t>
      </w:r>
    </w:p>
    <w:p>
      <w:pPr>
        <w:pStyle w:val="PromptBullet"/>
        <w:numPr>
          <w:ilvl w:val="0"/>
          <w:numId w:val="10"/>
        </w:numPr>
      </w:pPr>
      <w:r>
        <w:t>Cadastros inativos continuam identificáveis no histórico; desativação impede uso novo conforme regra, sem apagar vínculos antigos. Mostre referências existentes antes de uma alteração administrativa.</w:t>
      </w:r>
    </w:p>
    <w:p>
      <w:pPr>
        <w:pStyle w:val="Heading2"/>
      </w:pPr>
      <w:r>
        <w:t>Aplicação no servidor e no front-end</w:t>
      </w:r>
    </w:p>
    <w:p>
      <w:pPr>
        <w:pStyle w:val="PromptBullet"/>
        <w:numPr>
          <w:ilvl w:val="0"/>
          <w:numId w:val="10"/>
        </w:numPr>
      </w:pPr>
      <w:r>
        <w:t>Aplique autorização na API e nas consultas antes da paginação, agregação e contagem. Cobrir somente a rota de detalhe não protege listas, busca, autocompletes, notificações, filas e relatórios.</w:t>
      </w:r>
    </w:p>
    <w:p>
      <w:pPr>
        <w:pStyle w:val="PromptBullet"/>
        <w:numPr>
          <w:ilvl w:val="0"/>
          <w:numId w:val="10"/>
        </w:numPr>
      </w:pPr>
      <w:r>
        <w:t>Proteja objetos relacionados: mensagens, notas, anexos e suas versões, rascunhos, pareceres, decisões, recibos, templates restritos e configurações. UUID não substitui autorização.</w:t>
      </w:r>
    </w:p>
    <w:p>
      <w:pPr>
        <w:pStyle w:val="PromptBullet"/>
        <w:numPr>
          <w:ilvl w:val="0"/>
          <w:numId w:val="10"/>
        </w:numPr>
      </w:pPr>
      <w:r>
        <w:t>Para arquivos privados, revalide autorização na entrega. Se houver URL temporária, limite validade e escopo, evite cache público e documente a janela residual de revogação. Nunca aceite caminho de arquivo arbitrário do cliente.</w:t>
      </w:r>
    </w:p>
    <w:p>
      <w:pPr>
        <w:pStyle w:val="PromptBullet"/>
        <w:numPr>
          <w:ilvl w:val="0"/>
          <w:numId w:val="10"/>
        </w:numPr>
      </w:pPr>
      <w:r>
        <w:t>Jobs, exports e notificações também conferem acesso no momento da execução e da entrega. Invalidar a sessão visual não basta para impedir uma tarefa já enfileirada.</w:t>
      </w:r>
    </w:p>
    <w:p>
      <w:pPr>
        <w:pStyle w:val="PromptBullet"/>
        <w:numPr>
          <w:ilvl w:val="0"/>
          <w:numId w:val="10"/>
        </w:numPr>
      </w:pPr>
      <w:r>
        <w:t>Não confie somente em claims antigas de JWT. Mudança de permissão ou bloqueio deve refletir nas novas requisições dentro de janela definida e testada; implemente invalidação de cache de capacidades quando necessário.</w:t>
      </w:r>
    </w:p>
    <w:p>
      <w:pPr>
        <w:pStyle w:val="PromptBullet"/>
        <w:numPr>
          <w:ilvl w:val="0"/>
          <w:numId w:val="10"/>
        </w:numPr>
      </w:pPr>
      <w:r>
        <w:t>Inclua usuário/guard, concessão efetiva e contexto na chave de cache pertinente. Não compartilhe resultados de campus por uma chave global. Revogação invalida dados protegidos em cache.</w:t>
      </w:r>
    </w:p>
    <w:p>
      <w:pPr>
        <w:pStyle w:val="PromptBullet"/>
        <w:numPr>
          <w:ilvl w:val="0"/>
          <w:numId w:val="10"/>
        </w:numPr>
      </w:pPr>
      <w:r>
        <w:t>A interface recebe capacidades efetivas para exibir ações coerentes; esconder botão não é proteção. Troca de contexto limpa consultas em cache e evita mostrar brevemente dados do contexto anterior.</w:t>
      </w:r>
    </w:p>
    <w:p>
      <w:pPr>
        <w:pStyle w:val="PromptBullet"/>
        <w:numPr>
          <w:ilvl w:val="0"/>
          <w:numId w:val="10"/>
        </w:numPr>
      </w:pPr>
      <w:r>
        <w:t>Falhas devem ser coerentes, sem revelar existência de recurso alheio por título, contagem, erro detalhado ou diferença evitável de resposta. Preserve mensagens úteis para quem está autorizado.</w:t>
      </w:r>
    </w:p>
    <w:p>
      <w:pPr>
        <w:pStyle w:val="Heading2"/>
      </w:pPr>
      <w:r>
        <w:t>Gestão de acesso e concessões temporárias</w:t>
      </w:r>
    </w:p>
    <w:p>
      <w:pPr>
        <w:pStyle w:val="PromptBullet"/>
        <w:numPr>
          <w:ilvl w:val="0"/>
          <w:numId w:val="10"/>
        </w:numPr>
      </w:pPr>
      <w:r>
        <w:t>Crie tela administrativa para consultar vínculos, conceder/revogar capacidades por papel e escopo, ver validade e justificativa. Valide todos os IDs no escopo do administrador; evite edição em massa irrestrita.</w:t>
      </w:r>
    </w:p>
    <w:p>
      <w:pPr>
        <w:pStyle w:val="PromptBullet"/>
        <w:numPr>
          <w:ilvl w:val="0"/>
          <w:numId w:val="10"/>
        </w:numPr>
      </w:pPr>
      <w:r>
        <w:t>Concessão temporária precisa de beneficiário, responsável, motivo, início, fim e escopo. Use horário do servidor e timezone documentado. Expiração deve ser verificada na autorização, não depender apenas de scheduler que pode atrasar.</w:t>
      </w:r>
    </w:p>
    <w:p>
      <w:pPr>
        <w:pStyle w:val="PromptBullet"/>
        <w:numPr>
          <w:ilvl w:val="0"/>
          <w:numId w:val="10"/>
        </w:numPr>
      </w:pPr>
      <w:r>
        <w:t>Registre quem concedeu, alterou e revogou. Não apague histórico para simular que o acesso nunca existiu. A Fase 9 ampliará a auditoria sem substituir esses eventos.</w:t>
      </w:r>
    </w:p>
    <w:p>
      <w:pPr>
        <w:pStyle w:val="PromptBullet"/>
        <w:numPr>
          <w:ilvl w:val="0"/>
          <w:numId w:val="10"/>
        </w:numPr>
      </w:pPr>
      <w:r>
        <w:t>Impeça remoção acidental do último acesso administrativo necessário à recuperação, com uma política explícita. Não use isso para impedir revogação emergencial de conta comprometida; documente procedimento técnico controlado.</w:t>
      </w:r>
    </w:p>
    <w:p>
      <w:pPr>
        <w:pStyle w:val="PromptBullet"/>
        <w:numPr>
          <w:ilvl w:val="0"/>
          <w:numId w:val="10"/>
        </w:numPr>
      </w:pPr>
      <w:r>
        <w:t>Não implemente impersonação silenciosa. Se uma necessidade de acesso emergencial surgir, registre como decisão pendente com prazo, aprovação e auditoria; não crie atalho de superusuário universal.</w:t>
      </w:r>
    </w:p>
    <w:p>
      <w:pPr>
        <w:pStyle w:val="Heading2"/>
      </w:pPr>
      <w:r>
        <w:t>Migração e compatibilidade</w:t>
      </w:r>
    </w:p>
    <w:p>
      <w:pPr>
        <w:pStyle w:val="PromptBullet"/>
        <w:numPr>
          <w:ilvl w:val="0"/>
          <w:numId w:val="10"/>
        </w:numPr>
      </w:pPr>
      <w:r>
        <w:t>Produza inventário das permissões atuais e um plano de mapeamento. Não atribua todos os registros sem campus ao primeiro campus nem conceda acesso global para evitar erros.</w:t>
      </w:r>
    </w:p>
    <w:p>
      <w:pPr>
        <w:pStyle w:val="PromptBullet"/>
        <w:numPr>
          <w:ilvl w:val="0"/>
          <w:numId w:val="10"/>
        </w:numPr>
      </w:pPr>
      <w:r>
        <w:t>Registros sem contexto suficiente devem aparecer em relatório de saneamento para pessoa autorizada e ficar com acesso restrito definido. Faça simulação do mapeamento antes de aplicar; preserve IDs e histórico.</w:t>
      </w:r>
    </w:p>
    <w:p>
      <w:pPr>
        <w:pStyle w:val="PromptBullet"/>
        <w:numPr>
          <w:ilvl w:val="0"/>
          <w:numId w:val="10"/>
        </w:numPr>
      </w:pPr>
      <w:r>
        <w:t>Adote migrations graduais: adicionar relações, preencher dados comprovados, validar cobertura e somente depois endurecer constraints. Evite indisponibilidade causada por coluna obrigatória sem tratamento do legado.</w:t>
      </w:r>
    </w:p>
    <w:p>
      <w:pPr>
        <w:pStyle w:val="PromptBullet"/>
        <w:numPr>
          <w:ilvl w:val="0"/>
          <w:numId w:val="10"/>
        </w:numPr>
      </w:pPr>
      <w:r>
        <w:t>Preserve os dois tipos de identidade, se alunos e staff continuarem separados. Chaves de auditoria, notificações e concessões devem incluir tipo/guard para evitar colisão entre IDs.</w:t>
      </w:r>
    </w:p>
    <w:p>
      <w:pPr>
        <w:pStyle w:val="PromptBullet"/>
        <w:numPr>
          <w:ilvl w:val="0"/>
          <w:numId w:val="10"/>
        </w:numPr>
      </w:pPr>
      <w:r>
        <w:t>Não substitua autenticação por SSO agora; apenas prepare identificadores e contratos necessários. Integrações e autenticação institucional serão avaliadas na Fase 12.</w:t>
      </w:r>
    </w:p>
    <w:p>
      <w:pPr>
        <w:pStyle w:val="Heading2"/>
      </w:pPr>
      <w:r>
        <w:t>Testes e critérios específicos</w:t>
      </w:r>
    </w:p>
    <w:p>
      <w:pPr>
        <w:pStyle w:val="PromptBullet"/>
        <w:numPr>
          <w:ilvl w:val="0"/>
          <w:numId w:val="10"/>
        </w:numPr>
      </w:pPr>
      <w:r>
        <w:t>Gere fixtures de pelo menos dois campi, cursos e setores diferentes, mais um usuário com múltiplos vínculos. Inclua IDs iguais em tabelas de identidades distintas quando o modelo permitir.</w:t>
      </w:r>
    </w:p>
    <w:p>
      <w:pPr>
        <w:pStyle w:val="PromptBullet"/>
        <w:numPr>
          <w:ilvl w:val="0"/>
          <w:numId w:val="10"/>
        </w:numPr>
      </w:pPr>
      <w:r>
        <w:t>Teste cada capacidade com permissão válida, ausente, expirada, revogada e fora do escopo. Inclua tentativa de autopromoção e de delegação indevida por administrador local.</w:t>
      </w:r>
    </w:p>
    <w:p>
      <w:pPr>
        <w:pStyle w:val="PromptBullet"/>
        <w:numPr>
          <w:ilvl w:val="0"/>
          <w:numId w:val="10"/>
        </w:numPr>
      </w:pPr>
      <w:r>
        <w:t>Exercite isolamento em listagem, totalizadores, pesquisa, detalhe, edição, download, rota direta, job, notificação e cache. Reproduza revogação depois do enqueue e antes do download.</w:t>
      </w:r>
    </w:p>
    <w:p>
      <w:pPr>
        <w:pStyle w:val="PromptBullet"/>
        <w:numPr>
          <w:ilvl w:val="0"/>
          <w:numId w:val="10"/>
        </w:numPr>
      </w:pPr>
      <w:r>
        <w:t>Teste encaminhamento permitido e proibido; mudança de vínculo sem reescrever histórico; graduado elegível; cadastros desativados; registros legados sem campus; expiração temporal com scheduler parado.</w:t>
      </w:r>
    </w:p>
    <w:p>
      <w:pPr>
        <w:pStyle w:val="PromptBullet"/>
        <w:numPr>
          <w:ilvl w:val="0"/>
          <w:numId w:val="10"/>
        </w:numPr>
      </w:pPr>
      <w:r>
        <w:t>Cenário E2E: administrador local concede acesso temporário a um setor; atendente passa a ver apenas a fila autorizada; tenta abrir URL de outro campus e é bloqueado; após revogação, recarregar e navegar não revela dados anteriores. Aluno permanece limitado ao próprio histórico.</w:t>
      </w:r>
    </w:p>
    <w:p>
      <w:pPr>
        <w:pStyle w:val="PromptBullet"/>
        <w:numPr>
          <w:ilvl w:val="0"/>
          <w:numId w:val="10"/>
        </w:numPr>
      </w:pPr>
      <w:r>
        <w:t>Critério específico: matriz documentada e coberta por testes; nenhuma rota ou agregação nova depende só da UI; administração local não amplia poderes; expiração/revogação funcionam; migração não inventa escopos; interfaces apresentam somente ações permitidas.</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8</w:t>
      </w:r>
    </w:p>
    <w:p>
      <w:pPr>
        <w:pStyle w:val="Heading1"/>
        <w:pageBreakBefore/>
        <w:spacing w:before="0"/>
      </w:pPr>
      <w:bookmarkStart w:id="6" w:name="Fase9"/>
      <w:r>
        <w:t>Fase 9 — Auditoria, proteção de dados e recuperação</w:t>
      </w:r>
      <w:bookmarkEnd w:id="6"/>
    </w:p>
    <w:p>
      <w:pPr>
        <w:pStyle w:val="QuietNote"/>
        <w:keepNext/>
      </w:pPr>
      <w:hyperlink w:anchor="Indice">
        <w:r>
          <w:rPr>
            <w:color w:val="2E74B5"/>
            <w:u w:val="single"/>
          </w:rPr>
          <w:t>Voltar ao mapa das fases</w:t>
        </w:r>
      </w:hyperlink>
    </w:p>
    <w:p>
      <w:pPr>
        <w:pStyle w:val="PromptMarker"/>
        <w:keepNext/>
      </w:pPr>
      <w:r>
        <w:t>INÍCIO DO PROMPT — FASE 9</w:t>
      </w:r>
    </w:p>
    <w:p>
      <w:pPr/>
      <w:r>
        <w:rPr>
          <w:b/>
        </w:rPr>
        <w:t>Tarefa: Fase 9 - Auditoria, proteção de dados e recuperação.</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limites</w:t>
      </w:r>
    </w:p>
    <w:p>
      <w:pPr/>
      <w:r>
        <w:t>Prepare o Chat Request para tratamento responsável de dados acadêmicos, rastreabilidade operacional e recuperação de falhas. Reutilize logs de eventos, arquivos privados e permissões das fases anteriores. Não declare conformidade jurídica apenas porque os controles técnicos foram implementados.</w:t>
      </w:r>
    </w:p>
    <w:p>
      <w:pPr/>
      <w:r>
        <w:t>Esta fase entrega controles verificáveis e propostas para aprovação do IFPE. Base legal, prazos de guarda, descarte, resposta a titulares e comunicação de incidentes dependem das autoridades institucionais competentes. Não execute exclusões reais, varreduras em produção nem avisos externos.</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Inventário e governança dos dados</w:t>
      </w:r>
    </w:p>
    <w:p>
      <w:pPr>
        <w:pStyle w:val="PromptBullet"/>
        <w:numPr>
          <w:ilvl w:val="0"/>
          <w:numId w:val="10"/>
        </w:numPr>
      </w:pPr>
      <w:r>
        <w:t>Mapeie dados por funcionalidade: identificação/vínculo, contato, mensagens, anexos, dados de saúde em atestados, pareceres, decisões, registros técnicos, notificações, rascunhos, exports e backups. Registre finalidade, origem, acesso, destino, sensibilidade e dependências.</w:t>
      </w:r>
    </w:p>
    <w:p>
      <w:pPr>
        <w:pStyle w:val="PromptBullet"/>
        <w:numPr>
          <w:ilvl w:val="0"/>
          <w:numId w:val="10"/>
        </w:numPr>
      </w:pPr>
      <w:r>
        <w:t>Identifique o mínimo necessário por serviço. Não torne CPF, RG, assinatura, atestado ou informações familiares obrigatórios em todos os pedidos. Dados sensíveis e eventuais dados de menores exigem análise específica da instituição.</w:t>
      </w:r>
    </w:p>
    <w:p>
      <w:pPr>
        <w:pStyle w:val="PromptBullet"/>
        <w:numPr>
          <w:ilvl w:val="0"/>
          <w:numId w:val="10"/>
        </w:numPr>
      </w:pPr>
      <w:r>
        <w:t>Produza matriz de finalidade e hipótese legal como proposta a validar, não parecer jurídico. Não use um checkbox genérico de consentimento como solução para todo tratamento acadêmico; separe ciência do aviso, autorização específica quando aplicável e preferências opcionais.</w:t>
      </w:r>
    </w:p>
    <w:p>
      <w:pPr>
        <w:pStyle w:val="PromptBullet"/>
        <w:numPr>
          <w:ilvl w:val="0"/>
          <w:numId w:val="10"/>
        </w:numPr>
      </w:pPr>
      <w:r>
        <w:t>Crie aviso de privacidade versionado e acessível, com campos para controlador, canal institucional, finalidades e direitos, preenchidos apenas com informações confirmadas. Conteúdo não homologado deve ser claramente identificado, sem nomes ou contatos inventados.</w:t>
      </w:r>
    </w:p>
    <w:p>
      <w:pPr>
        <w:pStyle w:val="PromptBullet"/>
        <w:numPr>
          <w:ilvl w:val="0"/>
          <w:numId w:val="10"/>
        </w:numPr>
      </w:pPr>
      <w:r>
        <w:t>Preserve snapshots necessários ao processo sem permitir correção silenciosa do histórico. Retificação de cadastro e anotação de correção de um processo devem ser operações distintas e rastreadas.</w:t>
      </w:r>
    </w:p>
    <w:p>
      <w:pPr>
        <w:pStyle w:val="PromptBullet"/>
        <w:numPr>
          <w:ilvl w:val="0"/>
          <w:numId w:val="10"/>
        </w:numPr>
      </w:pPr>
      <w:r>
        <w:t>Verifique fontes oficiais atualizadas da LGPD e normas internas do IFPE antes de consolidar as propostas. Registre fonte, data e pendências; não suponha que o formulário antigo seja política vigente de retenção.</w:t>
      </w:r>
    </w:p>
    <w:p>
      <w:pPr>
        <w:pStyle w:val="Heading2"/>
      </w:pPr>
      <w:r>
        <w:t>Auditoria de ações relevantes</w:t>
      </w:r>
    </w:p>
    <w:p>
      <w:pPr>
        <w:pStyle w:val="PromptBullet"/>
        <w:numPr>
          <w:ilvl w:val="0"/>
          <w:numId w:val="10"/>
        </w:numPr>
      </w:pPr>
      <w:r>
        <w:t>Reutilize o histórico de negócio, mas diferencie histórico apresentado ao aluno de auditoria restrita. Registre autenticação relevante, falhas de acesso, mudança de permissão, configuração publicada, revisão documental, parecer, decisão, reabertura, exportação e download sensível.</w:t>
      </w:r>
    </w:p>
    <w:p>
      <w:pPr>
        <w:pStyle w:val="PromptBullet"/>
        <w:numPr>
          <w:ilvl w:val="0"/>
          <w:numId w:val="10"/>
        </w:numPr>
      </w:pPr>
      <w:r>
        <w:t>Cada evento deve identificar ator/tipo, ação, recurso, escopo, momento em UTC, resultado e correlação da requisição/job. Registre justificativa quando exigida. Coleta de IP e outros identificadores deve ser mínima, justificada e ter retenção definida.</w:t>
      </w:r>
    </w:p>
    <w:p>
      <w:pPr>
        <w:pStyle w:val="PromptBullet"/>
        <w:numPr>
          <w:ilvl w:val="0"/>
          <w:numId w:val="10"/>
        </w:numPr>
      </w:pPr>
      <w:r>
        <w:t>Não registre senha, JWT, cookie, link assinado, corpo completo de chat, documento ou resposta sensível. Para diffs, use lista permitida de campos e ocultação de valores; um logger genérico de todo request/response é proibido.</w:t>
      </w:r>
    </w:p>
    <w:p>
      <w:pPr>
        <w:pStyle w:val="PromptBullet"/>
        <w:numPr>
          <w:ilvl w:val="0"/>
          <w:numId w:val="10"/>
        </w:numPr>
      </w:pPr>
      <w:r>
        <w:t>Eventos críticos devem ser consistentes com a transação do negócio. Um rollback não pode deixar auditoria afirmando decisão concluída. Falhas do mecanismo de auditoria devem ser observáveis e ter comportamento seguro documentado.</w:t>
      </w:r>
    </w:p>
    <w:p>
      <w:pPr>
        <w:pStyle w:val="PromptBullet"/>
        <w:numPr>
          <w:ilvl w:val="0"/>
          <w:numId w:val="10"/>
        </w:numPr>
      </w:pPr>
      <w:r>
        <w:t>Restrinja alteração e exclusão pela aplicação e pelas contas de banco utilizadas. Não chame a trilha de imutável contra qualquer administrador sem armazenamento e controles adequados; explicite limites de integridade e possibilidade de detecção.</w:t>
      </w:r>
    </w:p>
    <w:p>
      <w:pPr>
        <w:pStyle w:val="PromptBullet"/>
        <w:numPr>
          <w:ilvl w:val="0"/>
          <w:numId w:val="10"/>
        </w:numPr>
      </w:pPr>
      <w:r>
        <w:t>Disponibilize busca paginada restrita por período, ação e recurso, sem transformar logs em um novo vazamento. Audite acesso e exportação da própria auditoria, respeitando campus e finalidade.</w:t>
      </w:r>
    </w:p>
    <w:p>
      <w:pPr>
        <w:pStyle w:val="Heading2"/>
      </w:pPr>
      <w:r>
        <w:t>Segurança de aplicação e anexos</w:t>
      </w:r>
    </w:p>
    <w:p>
      <w:pPr>
        <w:pStyle w:val="PromptBullet"/>
        <w:numPr>
          <w:ilvl w:val="0"/>
          <w:numId w:val="10"/>
        </w:numPr>
      </w:pPr>
      <w:r>
        <w:t>Faça revisão dirigida de autenticação, recuperação de senha, JWT/sessões, autorização, upload, XSS, injeção, CSRF quando aplicável, CORS, redirects e rate limiting. Corrija achados reproduzidos dentro do escopo; não force atualização geral de dependências.</w:t>
      </w:r>
    </w:p>
    <w:p>
      <w:pPr>
        <w:pStyle w:val="PromptBullet"/>
        <w:numPr>
          <w:ilvl w:val="0"/>
          <w:numId w:val="10"/>
        </w:numPr>
      </w:pPr>
      <w:r>
        <w:t>Confira armazenamento de tokens no front-end e ameaças reais do modelo existente. Não migre para cookies sem ajustar CSRF, SameSite, domínio, refresh e logout de ponta a ponta. Revogação e expiração precisam de testes.</w:t>
      </w:r>
    </w:p>
    <w:p>
      <w:pPr>
        <w:pStyle w:val="PromptBullet"/>
        <w:numPr>
          <w:ilvl w:val="0"/>
          <w:numId w:val="10"/>
        </w:numPr>
      </w:pPr>
      <w:r>
        <w:t>Para staff privilegiado, avalie e implemente MFA com biblioteca compatível quando houver infraestrutura adequada: enrollment confirmado, segredo protegido, códigos de recuperação e fluxo de recuperação auditável. Se SSO institucional for a solução aprovada, não crie MFA paralelo conflitante; registre o requisito bloqueado até integração.</w:t>
      </w:r>
    </w:p>
    <w:p>
      <w:pPr>
        <w:pStyle w:val="PromptBullet"/>
        <w:numPr>
          <w:ilvl w:val="0"/>
          <w:numId w:val="10"/>
        </w:numPr>
      </w:pPr>
      <w:r>
        <w:t>Proteja login, reset e verificação de endereço contra enumeração e abuso, sem bloquear injustificadamente uma rede compartilhada de campus. Mensagens de erro não devem expor stack trace ou ambiente.</w:t>
      </w:r>
    </w:p>
    <w:p>
      <w:pPr>
        <w:pStyle w:val="PromptBullet"/>
        <w:numPr>
          <w:ilvl w:val="0"/>
          <w:numId w:val="10"/>
        </w:numPr>
      </w:pPr>
      <w:r>
        <w:t>Valide tamanho, extensão e MIME real de anexos; gere nomes internos seguros; impeça execução e path traversal. Não publique storage acadêmico por link simbólico ou URL adivinhável. SVG/HTML e conteúdo ativo exigem tratamento explícito ou bloqueio.</w:t>
      </w:r>
    </w:p>
    <w:p>
      <w:pPr>
        <w:pStyle w:val="PromptBullet"/>
        <w:numPr>
          <w:ilvl w:val="0"/>
          <w:numId w:val="10"/>
        </w:numPr>
      </w:pPr>
      <w:r>
        <w:t>Se houver serviço de análise antimalware aprovado, integre estados recebido, em análise, liberado e bloqueado, preservando privacidade. Arquivo pendente não pode ser baixado como seguro; serviço indisponível não significa aprovação. Sem serviço, documente limitação e decisão de risco antes do lançamento.</w:t>
      </w:r>
    </w:p>
    <w:p>
      <w:pPr>
        <w:pStyle w:val="PromptBullet"/>
        <w:numPr>
          <w:ilvl w:val="0"/>
          <w:numId w:val="10"/>
        </w:numPr>
      </w:pPr>
      <w:r>
        <w:t>Revise headers, TLS planejado, dependências, segredos em arquivos versionados e permissões de storage. Não imprima o segredo encontrado; relate localização e procedimento de rotação autorizado. Nunca tente obter credenciais fora do ambiente configurado.</w:t>
      </w:r>
    </w:p>
    <w:p>
      <w:pPr>
        <w:pStyle w:val="Heading2"/>
      </w:pPr>
      <w:r>
        <w:t>Retenção, descarte e direitos do titular</w:t>
      </w:r>
    </w:p>
    <w:p>
      <w:pPr>
        <w:pStyle w:val="PromptBullet"/>
        <w:numPr>
          <w:ilvl w:val="0"/>
          <w:numId w:val="10"/>
        </w:numPr>
      </w:pPr>
      <w:r>
        <w:t>Modele políticas por categoria de dado, marco inicial, prazo aprovado, ação e suspensão de descarte por obrigação/controvérsia. Prazos ficam sem execução enquanto não homologados; não invente um número universal.</w:t>
      </w:r>
    </w:p>
    <w:p>
      <w:pPr>
        <w:pStyle w:val="PromptBullet"/>
        <w:numPr>
          <w:ilvl w:val="0"/>
          <w:numId w:val="10"/>
        </w:numPr>
      </w:pPr>
      <w:r>
        <w:t>O aviso de retirada em 90 dias não autoriza excluir requerimentos, anexos, contas ou backups. Distinguir arquivamento operacional, anonimização efetiva e eliminação física; soft delete não equivale a eliminação.</w:t>
      </w:r>
    </w:p>
    <w:p>
      <w:pPr>
        <w:pStyle w:val="PromptBullet"/>
        <w:numPr>
          <w:ilvl w:val="0"/>
          <w:numId w:val="10"/>
        </w:numPr>
      </w:pPr>
      <w:r>
        <w:t>Entregue simulação de retenção com contagens e referências mínimas, opção de aprovação e trilha. Por padrão, nenhum job realiza descarte. Teste execução destrutiva somente em ambiente isolado com fixtures.</w:t>
      </w:r>
    </w:p>
    <w:p>
      <w:pPr>
        <w:pStyle w:val="PromptBullet"/>
        <w:numPr>
          <w:ilvl w:val="0"/>
          <w:numId w:val="10"/>
        </w:numPr>
      </w:pPr>
      <w:r>
        <w:t>Preserve relações, provas e bloqueios de guarda. Contemple caches, índices, exports e cópias de segurança no procedimento, inclusive tratamento de dados que reapareçam após restauração.</w:t>
      </w:r>
    </w:p>
    <w:p>
      <w:pPr>
        <w:pStyle w:val="PromptBullet"/>
        <w:numPr>
          <w:ilvl w:val="0"/>
          <w:numId w:val="10"/>
        </w:numPr>
      </w:pPr>
      <w:r>
        <w:t>Prepare fluxo autenticado para pedidos de acesso/correção/eliminação: protocolo próprio ou categoria controlada, verificação proporcional da identidade, análise institucional, resposta e justificativa. Não prometa eliminação automática de documentos com dever de guarda.</w:t>
      </w:r>
    </w:p>
    <w:p>
      <w:pPr>
        <w:pStyle w:val="PromptBullet"/>
        <w:numPr>
          <w:ilvl w:val="0"/>
          <w:numId w:val="10"/>
        </w:numPr>
      </w:pPr>
      <w:r>
        <w:t>Exportação para o titular não pode incluir dados de terceiros, notas internas indiscriminadas, credenciais ou arquivos sem autorização. Use revisão quando necessária e entrega privada com prazo aprovado.</w:t>
      </w:r>
    </w:p>
    <w:p>
      <w:pPr>
        <w:pStyle w:val="Heading2"/>
      </w:pPr>
      <w:r>
        <w:t>Backup, restauração e incidentes</w:t>
      </w:r>
    </w:p>
    <w:p>
      <w:pPr>
        <w:pStyle w:val="PromptBullet"/>
        <w:numPr>
          <w:ilvl w:val="0"/>
          <w:numId w:val="10"/>
        </w:numPr>
      </w:pPr>
      <w:r>
        <w:t>Documente o conjunto recuperável: banco, arquivos privados, configurações necessárias, chaves protegidas e versões da aplicação. Backup só do banco não recupera anexos; perder chaves pode inutilizar dados cifrados.</w:t>
      </w:r>
    </w:p>
    <w:p>
      <w:pPr>
        <w:pStyle w:val="PromptBullet"/>
        <w:numPr>
          <w:ilvl w:val="0"/>
          <w:numId w:val="10"/>
        </w:numPr>
      </w:pPr>
      <w:r>
        <w:t>Proponha RPO e RTO para validação da TI, sem apresentá-los como SLA do atendimento. Defina responsabilidades, cifragem, acesso mínimo, destino autorizado, retenção e verificação de integridade.</w:t>
      </w:r>
    </w:p>
    <w:p>
      <w:pPr>
        <w:pStyle w:val="PromptBullet"/>
        <w:numPr>
          <w:ilvl w:val="0"/>
          <w:numId w:val="10"/>
        </w:numPr>
      </w:pPr>
      <w:r>
        <w:t>Crie scripts/runbook compatíveis com a infraestrutura real, com checagem explícita de origem e destino. Não envie backups para conta externa nem configure serviço pago sem autorização.</w:t>
      </w:r>
    </w:p>
    <w:p>
      <w:pPr>
        <w:pStyle w:val="PromptBullet"/>
        <w:numPr>
          <w:ilvl w:val="0"/>
          <w:numId w:val="10"/>
        </w:numPr>
      </w:pPr>
      <w:r>
        <w:t>Execute exercício de restauração em banco/storage isolados, com e-mail e integrações reais desabilitados. Verifique pedidos, versões documentais, acesso, histórico e reconciliação de filas. Restauração não pode disparar novamente notificações antigas.</w:t>
      </w:r>
    </w:p>
    <w:p>
      <w:pPr>
        <w:pStyle w:val="PromptBullet"/>
        <w:numPr>
          <w:ilvl w:val="0"/>
          <w:numId w:val="10"/>
        </w:numPr>
      </w:pPr>
      <w:r>
        <w:t>Registre duração observada, integridade, perdas e diferenças em relação às metas. Backup criado sem restauração validada não satisfaz o critério.</w:t>
      </w:r>
    </w:p>
    <w:p>
      <w:pPr>
        <w:pStyle w:val="PromptBullet"/>
        <w:numPr>
          <w:ilvl w:val="0"/>
          <w:numId w:val="10"/>
        </w:numPr>
      </w:pPr>
      <w:r>
        <w:t>Prepare resposta a incidentes: detecção, contenção, preservação de evidências, revogação/rotação autorizada, avaliação, recuperação e escalonamento ao canal institucional confirmado. Comunicação externa e prazos legais devem ser confirmados pela instituição; não envie avisos automaticamente.</w:t>
      </w:r>
    </w:p>
    <w:p>
      <w:pPr>
        <w:pStyle w:val="Heading2"/>
      </w:pPr>
      <w:r>
        <w:t>Testes e critérios específicos</w:t>
      </w:r>
    </w:p>
    <w:p>
      <w:pPr>
        <w:pStyle w:val="PromptBullet"/>
        <w:numPr>
          <w:ilvl w:val="0"/>
          <w:numId w:val="10"/>
        </w:numPr>
      </w:pPr>
      <w:r>
        <w:t>Teste eventos transacionais e tentativa de alterar auditoria; masking de segredos; acesso aos logs por escopo; conta bloqueada e token revogado; recuperação/MFA; upload malicioso simulado e scanner indisponível; arquivos privados e limites de tamanho.</w:t>
      </w:r>
    </w:p>
    <w:p>
      <w:pPr>
        <w:pStyle w:val="PromptBullet"/>
        <w:numPr>
          <w:ilvl w:val="0"/>
          <w:numId w:val="10"/>
        </w:numPr>
      </w:pPr>
      <w:r>
        <w:t>Teste política sem aprovação sem exclusão; simulação que não altera dados; bloqueio de guarda; descarte autorizado somente em fixtures; pedido de titular sem exposição de terceiros; restore sem e-mail real e com anexos íntegros.</w:t>
      </w:r>
    </w:p>
    <w:p>
      <w:pPr>
        <w:pStyle w:val="PromptBullet"/>
        <w:numPr>
          <w:ilvl w:val="0"/>
          <w:numId w:val="10"/>
        </w:numPr>
      </w:pPr>
      <w:r>
        <w:t>Cenário E2E: administrador autorizado consulta evento; staff comum não acessa auditoria; aluno consulta aviso e abre demanda de privacidade; arquivo pendente permanece indisponível; sessão revogada não recupera conteúdo ao recarregar.</w:t>
      </w:r>
    </w:p>
    <w:p>
      <w:pPr>
        <w:pStyle w:val="PromptBullet"/>
        <w:numPr>
          <w:ilvl w:val="0"/>
          <w:numId w:val="10"/>
        </w:numPr>
      </w:pPr>
      <w:r>
        <w:t>Critério específico: inventário e decisões pendentes documentados; auditoria íntegra dentro dos limites declarados; riscos críticos corrigidos ou bloqueadores explícitos; retenção inativa sem aprovação; restauração demonstrada; nenhuma alegação de conformidade total sem avaliação institucional.</w:t>
      </w:r>
    </w:p>
    <w:p>
      <w:pPr>
        <w:pStyle w:val="PromptBullet"/>
        <w:numPr>
          <w:ilvl w:val="0"/>
          <w:numId w:val="10"/>
        </w:numPr>
      </w:pPr>
      <w:r>
        <w:t xml:space="preserve">Referências iniciais a conferir: </w:t>
      </w:r>
      <w:hyperlink r:id="rId11">
        <w:r>
          <w:rPr>
            <w:color w:val="2E74B5"/>
            <w:u w:val="single"/>
          </w:rPr>
          <w:t>https://www.planalto.gov.br/ccivil_03/_ato2015-2018/2018/lei/l13709.htm</w:t>
        </w:r>
      </w:hyperlink>
      <w:r/>
      <w:r>
        <w:t xml:space="preserve"> e </w:t>
      </w:r>
      <w:hyperlink r:id="rId12">
        <w:r>
          <w:rPr>
            <w:color w:val="2E74B5"/>
            <w:u w:val="single"/>
          </w:rPr>
          <w:t>https://portal.ifpe.edu.br/acesso-a-informacao/protecao-de-dados-lgpd/legislacao-interna/</w:t>
        </w:r>
      </w:hyperlink>
      <w:r/>
      <w:r>
        <w:t xml:space="preserve"> .</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9</w:t>
      </w:r>
    </w:p>
    <w:p>
      <w:pPr>
        <w:pStyle w:val="Heading1"/>
        <w:pageBreakBefore/>
        <w:spacing w:before="0"/>
      </w:pPr>
      <w:bookmarkStart w:id="7" w:name="Fase10"/>
      <w:r>
        <w:t>Fase 10 — Indicadores, relatórios e satisfação</w:t>
      </w:r>
      <w:bookmarkEnd w:id="7"/>
    </w:p>
    <w:p>
      <w:pPr>
        <w:pStyle w:val="QuietNote"/>
        <w:keepNext/>
      </w:pPr>
      <w:hyperlink w:anchor="Indice">
        <w:r>
          <w:rPr>
            <w:color w:val="2E74B5"/>
            <w:u w:val="single"/>
          </w:rPr>
          <w:t>Voltar ao mapa das fases</w:t>
        </w:r>
      </w:hyperlink>
    </w:p>
    <w:p>
      <w:pPr>
        <w:pStyle w:val="PromptMarker"/>
        <w:keepNext/>
      </w:pPr>
      <w:r>
        <w:t>INÍCIO DO PROMPT — FASE 10</w:t>
      </w:r>
    </w:p>
    <w:p>
      <w:pPr/>
      <w:r>
        <w:rPr>
          <w:b/>
        </w:rPr>
        <w:t>Tarefa: Fase 10 - Indicadores, relatórios e satisfação.</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dependências</w:t>
      </w:r>
    </w:p>
    <w:p>
      <w:pPr/>
      <w:r>
        <w:t>Transforme eventos e relógios existentes em informação confiável para a gestão, com painéis por escopo, exportações controladas e avaliação voluntária do atendimento. Reutilize o cálculo de SLA da Fase 5, a autorização da Fase 8 e os controles de dados da Fase 9.</w:t>
      </w:r>
    </w:p>
    <w:p>
      <w:pPr/>
      <w:r>
        <w:t>Não implemente um segundo motor de prazos, ranking público de servidores, análise de sentimento por IA ou integração com plataforma externa de BI. Dados incompletos devem ser sinalizados, não preenchidos com números inventados.</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Dicionário de métricas antes das telas</w:t>
      </w:r>
    </w:p>
    <w:p>
      <w:pPr>
        <w:pStyle w:val="PromptBullet"/>
        <w:numPr>
          <w:ilvl w:val="0"/>
          <w:numId w:val="10"/>
        </w:numPr>
      </w:pPr>
      <w:r>
        <w:t>Defina para cada indicador: pergunta respondida, unidade, numerador/denominador, coorte, timestamp de referência, fuso, filtros, exclusões, origem e limitações. Documente exemplos manuais com fixtures de resultado conhecido.</w:t>
      </w:r>
    </w:p>
    <w:p>
      <w:pPr>
        <w:pStyle w:val="PromptBullet"/>
        <w:numPr>
          <w:ilvl w:val="0"/>
          <w:numId w:val="10"/>
        </w:numPr>
      </w:pPr>
      <w:r>
        <w:t>Inclua volume de pedidos abertos, concluídos e cancelados; estoque atual por etapa; pendências; distribuição por serviço/campus/curso/setor; primeira resposta humana; tempo de resolução; cumprimento de SLA; idade da fila e tempo em espera.</w:t>
      </w:r>
    </w:p>
    <w:p>
      <w:pPr>
        <w:pStyle w:val="PromptBullet"/>
        <w:numPr>
          <w:ilvl w:val="0"/>
          <w:numId w:val="10"/>
        </w:numPr>
      </w:pPr>
      <w:r>
        <w:t>Uma notificação automática ou mensagem do sistema não é primeira resposta humana. Conclusão operacional não significa deferimento; cancelamento não é resolução favorável. Disponibilização, download e entrega confirmada são medidas diferentes.</w:t>
      </w:r>
    </w:p>
    <w:p>
      <w:pPr>
        <w:pStyle w:val="PromptBullet"/>
        <w:numPr>
          <w:ilvl w:val="0"/>
          <w:numId w:val="10"/>
        </w:numPr>
      </w:pPr>
      <w:r>
        <w:t>Reutilize relógios, pausas, reabertura e calendário aplicáveis ao pedido. Mostre claramente horas corridas versus úteis, prazo original versus ajustado e regra/versionamento do SLA. Não recalcule o passado usando configuração atual sem uma visão explicitamente comparativa.</w:t>
      </w:r>
    </w:p>
    <w:p>
      <w:pPr>
        <w:pStyle w:val="PromptBullet"/>
        <w:numPr>
          <w:ilvl w:val="0"/>
          <w:numId w:val="10"/>
        </w:numPr>
      </w:pPr>
      <w:r>
        <w:t>Separe coorte de abertura, coorte de conclusão no período e estoque em uma data. Não divida resoluções de uma coorte por aberturas de outra e apresente isso como taxa de sucesso.</w:t>
      </w:r>
    </w:p>
    <w:p>
      <w:pPr>
        <w:pStyle w:val="PromptBullet"/>
        <w:numPr>
          <w:ilvl w:val="0"/>
          <w:numId w:val="10"/>
        </w:numPr>
      </w:pPr>
      <w:r>
        <w:t>Apresente mediana e percentis pertinentes junto da amostra quando úteis; média isolada não descreve toda a fila. Percentil sem amostra adequada e divisão por zero devem aparecer como indisponíveis, não 0% ou sucesso total.</w:t>
      </w:r>
    </w:p>
    <w:p>
      <w:pPr>
        <w:pStyle w:val="PromptBullet"/>
        <w:numPr>
          <w:ilvl w:val="0"/>
          <w:numId w:val="10"/>
        </w:numPr>
      </w:pPr>
      <w:r>
        <w:t>Conte requerimentos, itens por disciplina e documentos em unidades distintas. Reencaminhamento não cria nova abertura. Uma reabertura precisa de regra documentada por ciclo para não duplicar contagem inadvertidamente.</w:t>
      </w:r>
    </w:p>
    <w:p>
      <w:pPr>
        <w:pStyle w:val="PromptBullet"/>
        <w:numPr>
          <w:ilvl w:val="0"/>
          <w:numId w:val="10"/>
        </w:numPr>
      </w:pPr>
      <w:r>
        <w:t>Defina atribuição por setor/responsável no momento do evento ou por período de atuação. Não atribua todo o tempo de um caso encaminhado ao último atendente, nem use essa aproximação para avaliação individual.</w:t>
      </w:r>
    </w:p>
    <w:p>
      <w:pPr>
        <w:pStyle w:val="Heading2"/>
      </w:pPr>
      <w:r>
        <w:t>Painéis e filtros</w:t>
      </w:r>
    </w:p>
    <w:p>
      <w:pPr>
        <w:pStyle w:val="PromptBullet"/>
        <w:numPr>
          <w:ilvl w:val="0"/>
          <w:numId w:val="10"/>
        </w:numPr>
      </w:pPr>
      <w:r>
        <w:t>Crie dashboard com resumo operacional e detalhamento permitido. Filtros devem incluir intervalo, campus, curso, setor, serviço e etapa/resultado conforme disponibilidade e permissão. Diferencie filtros obrigatórios de opcionais.</w:t>
      </w:r>
    </w:p>
    <w:p>
      <w:pPr>
        <w:pStyle w:val="PromptBullet"/>
        <w:numPr>
          <w:ilvl w:val="0"/>
          <w:numId w:val="10"/>
        </w:numPr>
      </w:pPr>
      <w:r>
        <w:t>Mostre atualização, timezone, definição curta dos indicadores e tratamento de dados legados. Diferencie ausência de dados, filtro sem resultados, carregamento e erro de consulta; falha da API não pode ser exibida como fila vazia.</w:t>
      </w:r>
    </w:p>
    <w:p>
      <w:pPr>
        <w:pStyle w:val="PromptBullet"/>
        <w:numPr>
          <w:ilvl w:val="0"/>
          <w:numId w:val="10"/>
        </w:numPr>
      </w:pPr>
      <w:r>
        <w:t>Faça drill-down para lista coerente com a métrica e os mesmos filtros, somente se o perfil puder ver os pedidos. Quem tem acesso apenas agregado não ganha acesso nominal pelo clique.</w:t>
      </w:r>
    </w:p>
    <w:p>
      <w:pPr>
        <w:pStyle w:val="PromptBullet"/>
        <w:numPr>
          <w:ilvl w:val="0"/>
          <w:numId w:val="10"/>
        </w:numPr>
      </w:pPr>
      <w:r>
        <w:t>Use gráficos adequados e simples, com tabela alternativa, labels, contraste e navegação por teclado. Não dependa apenas de cores para risco de SLA. Preserve uso no celular sem cortar filtros ou legendas.</w:t>
      </w:r>
    </w:p>
    <w:p>
      <w:pPr>
        <w:pStyle w:val="PromptBullet"/>
        <w:numPr>
          <w:ilvl w:val="0"/>
          <w:numId w:val="10"/>
        </w:numPr>
      </w:pPr>
      <w:r>
        <w:t>Evite URLs com CPF, nome do discente ou conteúdo do pedido. Preferências locais de painel não podem armazenar respostas sensíveis nem misturar contextos após troca de campus.</w:t>
      </w:r>
    </w:p>
    <w:p>
      <w:pPr>
        <w:pStyle w:val="Heading2"/>
      </w:pPr>
      <w:r>
        <w:t>Segurança e qualidade dos agregados</w:t>
      </w:r>
    </w:p>
    <w:p>
      <w:pPr>
        <w:pStyle w:val="PromptBullet"/>
        <w:numPr>
          <w:ilvl w:val="0"/>
          <w:numId w:val="10"/>
        </w:numPr>
      </w:pPr>
      <w:r>
        <w:t>Aplique escopo antes da agregação e da geração de cache. Relatórios institucionais exigem capacidade específica; ser administrador local não autoriza visão global.</w:t>
      </w:r>
    </w:p>
    <w:p>
      <w:pPr>
        <w:pStyle w:val="PromptBullet"/>
        <w:numPr>
          <w:ilvl w:val="0"/>
          <w:numId w:val="10"/>
        </w:numPr>
      </w:pPr>
      <w:r>
        <w:t>Limite combinações de filtros, intervalos e granularidade para evitar consultas abusivas. Use índices e consultas explicadas; avalie N+1, volume e estratégia de atualização com dados sintéticos representativos.</w:t>
      </w:r>
    </w:p>
    <w:p>
      <w:pPr>
        <w:pStyle w:val="PromptBullet"/>
        <w:numPr>
          <w:ilvl w:val="0"/>
          <w:numId w:val="10"/>
        </w:numPr>
      </w:pPr>
      <w:r>
        <w:t>Cache deve incluir permissões/contexto efetivo e filtros, com invalidação coerente. Revogação precisa valer também para resultado já calculado e exportação pendente.</w:t>
      </w:r>
    </w:p>
    <w:p>
      <w:pPr>
        <w:pStyle w:val="PromptBullet"/>
        <w:numPr>
          <w:ilvl w:val="0"/>
          <w:numId w:val="10"/>
        </w:numPr>
      </w:pPr>
      <w:r>
        <w:t>Para estatísticas amplamente compartilhadas, proponha restrições de pequenas amostras e filtros que evitem reidentificação, para validação institucional. Remover nome não torna um conjunto automaticamente anônimo.</w:t>
      </w:r>
    </w:p>
    <w:p>
      <w:pPr>
        <w:pStyle w:val="PromptBullet"/>
        <w:numPr>
          <w:ilvl w:val="0"/>
          <w:numId w:val="10"/>
        </w:numPr>
      </w:pPr>
      <w:r>
        <w:t>Faça diagnóstico de timestamps faltantes, transições inconsistentes e durações negativas. Exclua do cálculo ou sinalize registros com regra explícita e informe cobertura; nunca corrija silenciosamente os eventos de origem.</w:t>
      </w:r>
    </w:p>
    <w:p>
      <w:pPr>
        <w:pStyle w:val="Heading2"/>
      </w:pPr>
      <w:r>
        <w:t>Exportações XLSX e PDF</w:t>
      </w:r>
    </w:p>
    <w:p>
      <w:pPr>
        <w:pStyle w:val="PromptBullet"/>
        <w:numPr>
          <w:ilvl w:val="0"/>
          <w:numId w:val="10"/>
        </w:numPr>
      </w:pPr>
      <w:r>
        <w:t>Entregue relatório sintético e, para perfis autorizados, detalhado. Cabeçalho deve registrar filtros, período, geração, timezone, versão/definição das métricas e restrição de uso, sem expor campos desnecessários.</w:t>
      </w:r>
    </w:p>
    <w:p>
      <w:pPr>
        <w:pStyle w:val="PromptBullet"/>
        <w:numPr>
          <w:ilvl w:val="0"/>
          <w:numId w:val="10"/>
        </w:numPr>
      </w:pPr>
      <w:r>
        <w:t>Use biblioteca compatível e mantida no projeto ou justifique nova dependência. Não disfarce CSV como XLSX. Trate protocolos e matrículas como texto para preservar zeros e caracteres.</w:t>
      </w:r>
    </w:p>
    <w:p>
      <w:pPr>
        <w:pStyle w:val="PromptBullet"/>
        <w:numPr>
          <w:ilvl w:val="0"/>
          <w:numId w:val="10"/>
        </w:numPr>
      </w:pPr>
      <w:r>
        <w:t>Proteja planilhas contra injeção de fórmulas a partir de conteúdo fornecido por usuários. Campos iniciados por operadores, tabulação ou retorno devem permanecer texto inofensivo; teste a serialização efetiva no arquivo gerado.</w:t>
      </w:r>
    </w:p>
    <w:p>
      <w:pPr>
        <w:pStyle w:val="PromptBullet"/>
        <w:numPr>
          <w:ilvl w:val="0"/>
          <w:numId w:val="10"/>
        </w:numPr>
      </w:pPr>
      <w:r>
        <w:t>PDF deve ter títulos, filtros, cabeçalhos repetidos, paginação e tabela sem cortes. Não copie identidade visual ou assinatura como se o relatório fosse ato institucional homologado.</w:t>
      </w:r>
    </w:p>
    <w:p>
      <w:pPr>
        <w:pStyle w:val="PromptBullet"/>
        <w:numPr>
          <w:ilvl w:val="0"/>
          <w:numId w:val="10"/>
        </w:numPr>
      </w:pPr>
      <w:r>
        <w:t>Para volume grande, use job com limite de linhas e memória, progresso/estado e snapshot ou corte temporal consistente. Informe quando o arquivo representa um retrato, pois a fila pode mudar durante a geração.</w:t>
      </w:r>
    </w:p>
    <w:p>
      <w:pPr>
        <w:pStyle w:val="PromptBullet"/>
        <w:numPr>
          <w:ilvl w:val="0"/>
          <w:numId w:val="10"/>
        </w:numPr>
      </w:pPr>
      <w:r>
        <w:t>Armazene arquivo fora de pasta pública. Autorize tanto solicitar quanto baixar, revalidando o acesso após geração. Link por si só não deve conceder acesso permanente; limpeza segue política aprovada da Fase 9.</w:t>
      </w:r>
    </w:p>
    <w:p>
      <w:pPr>
        <w:pStyle w:val="PromptBullet"/>
        <w:numPr>
          <w:ilvl w:val="0"/>
          <w:numId w:val="10"/>
        </w:numPr>
      </w:pPr>
      <w:r>
        <w:t>Notificação de disponibilidade não leva anexo sensível por e-mail. Gere auditoria de solicitação e download, sem registrar conteúdo integral. Não envie exportação a serviços externos.</w:t>
      </w:r>
    </w:p>
    <w:p>
      <w:pPr>
        <w:pStyle w:val="Heading2"/>
      </w:pPr>
      <w:r>
        <w:t>Pesquisa de satisfação</w:t>
      </w:r>
    </w:p>
    <w:p>
      <w:pPr>
        <w:pStyle w:val="PromptBullet"/>
        <w:numPr>
          <w:ilvl w:val="0"/>
          <w:numId w:val="10"/>
        </w:numPr>
      </w:pPr>
      <w:r>
        <w:t>Implemente pesquisa breve e voluntária após encerramento elegível: avaliação em escala claramente definida e comentário opcional. Não condicione emissão de documento, acesso ao histórico ou novo pedido à avaliação.</w:t>
      </w:r>
    </w:p>
    <w:p>
      <w:pPr>
        <w:pStyle w:val="PromptBullet"/>
        <w:numPr>
          <w:ilvl w:val="0"/>
          <w:numId w:val="10"/>
        </w:numPr>
      </w:pPr>
      <w:r>
        <w:t>Use convite da Fase 6 idempotente. Reabertura e novo encerramento precisam de política explícita por pedido/ciclo; não enviem convites ilimitados nem descartem avaliações anteriores silenciosamente.</w:t>
      </w:r>
    </w:p>
    <w:p>
      <w:pPr>
        <w:pStyle w:val="PromptBullet"/>
        <w:numPr>
          <w:ilvl w:val="0"/>
          <w:numId w:val="10"/>
        </w:numPr>
      </w:pPr>
      <w:r>
        <w:t>Proteja elegibilidade e autoria na API. O aluno avalia apenas atendimento próprio; tentativas repetidas não criam várias respostas. Defina possibilidade e prazo de edição como regra proposta, sem inventar obrigação institucional.</w:t>
      </w:r>
    </w:p>
    <w:p>
      <w:pPr>
        <w:pStyle w:val="PromptBullet"/>
        <w:numPr>
          <w:ilvl w:val="0"/>
          <w:numId w:val="10"/>
        </w:numPr>
      </w:pPr>
      <w:r>
        <w:t>Se houver vínculo para prevenir duplicação, descreva pesquisa como identificada ou pseudonimizada conforme implementação; não prometa anonimato. Restrinja a leitura de comentários e identidades conforme finalidade e papel.</w:t>
      </w:r>
    </w:p>
    <w:p>
      <w:pPr>
        <w:pStyle w:val="PromptBullet"/>
        <w:numPr>
          <w:ilvl w:val="0"/>
          <w:numId w:val="10"/>
        </w:numPr>
      </w:pPr>
      <w:r>
        <w:t>Avise para não inserir informações pessoais sensíveis no comentário. Não publique comentários automaticamente, não exponha avaliações negativas ao público e não implemente consequências no atendimento.</w:t>
      </w:r>
    </w:p>
    <w:p>
      <w:pPr>
        <w:pStyle w:val="PromptBullet"/>
        <w:numPr>
          <w:ilvl w:val="0"/>
          <w:numId w:val="10"/>
        </w:numPr>
      </w:pPr>
      <w:r>
        <w:t>Relatório mostra taxa de resposta, número de avaliações e distribuição, com ressalva do viés de participação. Não trate satisfação como medida exclusiva de qualidade ou desempenho individual.</w:t>
      </w:r>
    </w:p>
    <w:p>
      <w:pPr>
        <w:pStyle w:val="Heading2"/>
      </w:pPr>
      <w:r>
        <w:t>Testes e critérios específicos</w:t>
      </w:r>
    </w:p>
    <w:p>
      <w:pPr>
        <w:pStyle w:val="PromptBullet"/>
        <w:numPr>
          <w:ilvl w:val="0"/>
          <w:numId w:val="10"/>
        </w:numPr>
      </w:pPr>
      <w:r>
        <w:t>Monte conjunto pequeno calculável à mão: pedido no prazo, vencido, pausado, cancelado, indeferido, reaberto e encaminhado; períodos em limite de dia/fuso; caso sem primeira resposta e registro legado sem evento.</w:t>
      </w:r>
    </w:p>
    <w:p>
      <w:pPr>
        <w:pStyle w:val="PromptBullet"/>
        <w:numPr>
          <w:ilvl w:val="0"/>
          <w:numId w:val="10"/>
        </w:numPr>
      </w:pPr>
      <w:r>
        <w:t>Compare API, painel e exportação com o mesmo dicionário. Teste coortes distintas, denominador zero, ausência de dados, filtro de campus, cache após revogação, tempo útil e original/ajustado.</w:t>
      </w:r>
    </w:p>
    <w:p>
      <w:pPr>
        <w:pStyle w:val="PromptBullet"/>
        <w:numPr>
          <w:ilvl w:val="0"/>
          <w:numId w:val="10"/>
        </w:numPr>
      </w:pPr>
      <w:r>
        <w:t>Inspecione XLSX de fato, incluindo célula com texto semelhante a fórmula e identificador com zero inicial; renderize e confira PDF extenso. Teste falha de job, download não autorizado e arquivo expirado conforme política configurada.</w:t>
      </w:r>
    </w:p>
    <w:p>
      <w:pPr>
        <w:pStyle w:val="PromptBullet"/>
        <w:numPr>
          <w:ilvl w:val="0"/>
          <w:numId w:val="10"/>
        </w:numPr>
      </w:pPr>
      <w:r>
        <w:t>Teste pesquisa duplicada, pedido alheio, convite repetido, reabertura, perfil sem permissão para comentário e relatório de baixa amostra. Falha na pesquisa não pode alterar estado do requerimento.</w:t>
      </w:r>
    </w:p>
    <w:p>
      <w:pPr>
        <w:pStyle w:val="PromptBullet"/>
        <w:numPr>
          <w:ilvl w:val="0"/>
          <w:numId w:val="10"/>
        </w:numPr>
      </w:pPr>
      <w:r>
        <w:t>Cenário E2E: gestor filtra seu setor, abre detalhamento autorizado e solicita exportação; operador sem capacidade não acessa link direto; aluno recebe convite, avalia uma vez e continua consultando o pedido. Verifique números e estados no desktop e celular.</w:t>
      </w:r>
    </w:p>
    <w:p>
      <w:pPr>
        <w:pStyle w:val="PromptBullet"/>
        <w:numPr>
          <w:ilvl w:val="0"/>
          <w:numId w:val="10"/>
        </w:numPr>
      </w:pPr>
      <w:r>
        <w:t>Critério específico: indicadores reconciliáveis; tempo calculado pelo motor existente; isolamento nos agregados e arquivos; exports legíveis e seguros; pesquisa opcional e sem promessa falsa de anonimato; limitações e cobertura do legado visíveis.</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10</w:t>
      </w:r>
    </w:p>
    <w:p>
      <w:pPr>
        <w:pStyle w:val="Heading1"/>
        <w:pageBreakBefore/>
        <w:spacing w:before="0"/>
      </w:pPr>
      <w:bookmarkStart w:id="8" w:name="Fase11"/>
      <w:r>
        <w:t>Fase 11 — Catálogo, calendário, acessibilidade e orientação</w:t>
      </w:r>
      <w:bookmarkEnd w:id="8"/>
    </w:p>
    <w:p>
      <w:pPr>
        <w:pStyle w:val="QuietNote"/>
        <w:keepNext/>
      </w:pPr>
      <w:hyperlink w:anchor="Indice">
        <w:r>
          <w:rPr>
            <w:color w:val="2E74B5"/>
            <w:u w:val="single"/>
          </w:rPr>
          <w:t>Voltar ao mapa das fases</w:t>
        </w:r>
      </w:hyperlink>
    </w:p>
    <w:p>
      <w:pPr>
        <w:pStyle w:val="PromptMarker"/>
        <w:keepNext/>
      </w:pPr>
      <w:r>
        <w:t>INÍCIO DO PROMPT — FASE 11</w:t>
      </w:r>
    </w:p>
    <w:p>
      <w:pPr/>
      <w:r>
        <w:rPr>
          <w:b/>
        </w:rPr>
        <w:t>Tarefa: Fase 11 - Catálogo, calendário, acessibilidade e orientação.</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e dependências</w:t>
      </w:r>
    </w:p>
    <w:p>
      <w:pPr/>
      <w:r>
        <w:t>Torne os serviços compreensíveis e acessíveis antes e durante a solicitação. Consolide catálogo e canais de entrada da Fase 4.1, formulários da Fase 7, prazos da Fase 5 e escopos da Fase 8. Entregue calendário de disponibilidade, ajuda contextual e base de conhecimento governada.</w:t>
      </w:r>
    </w:p>
    <w:p>
      <w:pPr/>
      <w:r>
        <w:t>Não crie chatbot de IA, integração externa ou norma acadêmica nova. Acessibilidade deve ser parte dos componentes e fluxos reais, não um botão cosmético ou promessa de certificação automática.</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Catálogo de serviços homologável</w:t>
      </w:r>
    </w:p>
    <w:p>
      <w:pPr>
        <w:pStyle w:val="PromptBullet"/>
        <w:numPr>
          <w:ilvl w:val="0"/>
          <w:numId w:val="10"/>
        </w:numPr>
      </w:pPr>
      <w:r>
        <w:t>Audite os serviços e o mapeamento das 33 opções do requerimento institucional já tratados na Fase 4.1. Preserve identificadores, versões, nomes e relações confirmadas; não duplique serviços equivalentes para construir o catálogo.</w:t>
      </w:r>
    </w:p>
    <w:p>
      <w:pPr>
        <w:pStyle w:val="PromptBullet"/>
        <w:numPr>
          <w:ilvl w:val="0"/>
          <w:numId w:val="10"/>
        </w:numPr>
      </w:pPr>
      <w:r>
        <w:t>Cada entrada deve informar descrição, público/vínculos elegíveis, campus/curso quando aplicável, canal de atendimento, documentação exigida, orientações, unidade responsável, formulário e referência normativa confirmada.</w:t>
      </w:r>
    </w:p>
    <w:p>
      <w:pPr>
        <w:pStyle w:val="PromptBullet"/>
        <w:numPr>
          <w:ilvl w:val="0"/>
          <w:numId w:val="10"/>
        </w:numPr>
      </w:pPr>
      <w:r>
        <w:t>Distinga canal inteiramente digital, orientação para Protocolo Geral e outro canal externo. Serviço orientativo não pode abrir silenciosamente um requerimento como se tivesse protocolado no sistema oficial.</w:t>
      </w:r>
    </w:p>
    <w:p>
      <w:pPr>
        <w:pStyle w:val="PromptBullet"/>
        <w:numPr>
          <w:ilvl w:val="0"/>
          <w:numId w:val="10"/>
        </w:numPr>
      </w:pPr>
      <w:r>
        <w:t>Grupos documentais devem explicar todos, qualquer um ou condicional conforme regra homologada. Preserve as ambiguidades do formulário como pendências, em vez de tornar todos os códigos de anexos obrigatórios por padrão.</w:t>
      </w:r>
    </w:p>
    <w:p>
      <w:pPr>
        <w:pStyle w:val="PromptBullet"/>
        <w:numPr>
          <w:ilvl w:val="0"/>
          <w:numId w:val="10"/>
        </w:numPr>
      </w:pPr>
      <w:r>
        <w:t>Explique tempo de atendimento apenas com política publicada da Fase 5, usando unidade correta e ressalvas de suspensão. Prazo de retirada de documento não é prazo de análise ou retenção.</w:t>
      </w:r>
    </w:p>
    <w:p>
      <w:pPr>
        <w:pStyle w:val="PromptBullet"/>
        <w:numPr>
          <w:ilvl w:val="0"/>
          <w:numId w:val="10"/>
        </w:numPr>
      </w:pPr>
      <w:r>
        <w:t>Permita busca e filtros por palavra, categoria e público/campus. Mostre serviços indisponíveis com explicação quando útil, sem oferecer botão que falha depois do preenchimento.</w:t>
      </w:r>
    </w:p>
    <w:p>
      <w:pPr>
        <w:pStyle w:val="PromptBullet"/>
        <w:numPr>
          <w:ilvl w:val="0"/>
          <w:numId w:val="10"/>
        </w:numPr>
      </w:pPr>
      <w:r>
        <w:t>Conteúdo publicável deve passar por rascunho, revisão, publicação e desativação, com autor, referência, data e versão. Se a informação estiver pendente de aprovação, deixe isso explícito na administração e não a apresente como oficial.</w:t>
      </w:r>
    </w:p>
    <w:p>
      <w:pPr>
        <w:pStyle w:val="PromptBullet"/>
        <w:numPr>
          <w:ilvl w:val="0"/>
          <w:numId w:val="10"/>
        </w:numPr>
      </w:pPr>
      <w:r>
        <w:t>Mudança de catálogo não altera retroativamente o snapshot de pedido aberto. Desativar serviço preserva histórico e rascunhos conforme regras da Fase 7.</w:t>
      </w:r>
    </w:p>
    <w:p>
      <w:pPr>
        <w:pStyle w:val="Heading2"/>
      </w:pPr>
      <w:r>
        <w:t>Calendário acadêmico e janelas de solicitação</w:t>
      </w:r>
    </w:p>
    <w:p>
      <w:pPr>
        <w:pStyle w:val="PromptBullet"/>
        <w:numPr>
          <w:ilvl w:val="0"/>
          <w:numId w:val="10"/>
        </w:numPr>
      </w:pPr>
      <w:r>
        <w:t>Separe três conceitos: calendário acadêmico, janela de abertura de um serviço e calendário de expediente usado no SLA. Reutilize feriados quando apropriado, mas não trate os três como a mesma tabela sem semântica distinta.</w:t>
      </w:r>
    </w:p>
    <w:p>
      <w:pPr>
        <w:pStyle w:val="PromptBullet"/>
        <w:numPr>
          <w:ilvl w:val="0"/>
          <w:numId w:val="10"/>
        </w:numPr>
      </w:pPr>
      <w:r>
        <w:t>Permita configurar janelas por período letivo, campus, curso e serviço, com início, fim, timezone, referência aprovada e estado de publicação. Não invente datas de matrícula, reintegração ou recurso.</w:t>
      </w:r>
    </w:p>
    <w:p>
      <w:pPr>
        <w:pStyle w:val="PromptBullet"/>
        <w:numPr>
          <w:ilvl w:val="0"/>
          <w:numId w:val="10"/>
        </w:numPr>
      </w:pPr>
      <w:r>
        <w:t>Defina limites inclusivos/exclusivos explicitamente; apresente data e horário ao usuário. A API usa relógio do servidor e revalida no instante da confirmação, não confia no dispositivo do aluno.</w:t>
      </w:r>
    </w:p>
    <w:p>
      <w:pPr>
        <w:pStyle w:val="PromptBullet"/>
        <w:numPr>
          <w:ilvl w:val="0"/>
          <w:numId w:val="10"/>
        </w:numPr>
      </w:pPr>
      <w:r>
        <w:t>Serviço com formulário aberto antes do encerramento não ganha aceitação automática depois do limite. Preserve o rascunho e explique impedimento; exceção requer regra e autorização formalmente configuradas.</w:t>
      </w:r>
    </w:p>
    <w:p>
      <w:pPr>
        <w:pStyle w:val="PromptBullet"/>
        <w:numPr>
          <w:ilvl w:val="0"/>
          <w:numId w:val="10"/>
        </w:numPr>
      </w:pPr>
      <w:r>
        <w:t>Mudança de janela afeta novos envios de forma previsível e auditada, sem cancelar solicitações anteriores. Conflitos/sobreposição e ausência de configuração precisam de comportamento explícito, nunca uma data genérica presumida.</w:t>
      </w:r>
    </w:p>
    <w:p>
      <w:pPr>
        <w:pStyle w:val="PromptBullet"/>
        <w:numPr>
          <w:ilvl w:val="0"/>
          <w:numId w:val="10"/>
        </w:numPr>
      </w:pPr>
      <w:r>
        <w:t>Permita calendário em lista acessível, além de visão mensal se útil. Destaque prazos relevantes ao vínculo autorizado, sem expor agenda interna ou dados de outras pessoas.</w:t>
      </w:r>
    </w:p>
    <w:p>
      <w:pPr>
        <w:pStyle w:val="PromptBullet"/>
        <w:numPr>
          <w:ilvl w:val="0"/>
          <w:numId w:val="10"/>
        </w:numPr>
      </w:pPr>
      <w:r>
        <w:t>Não realize coleta automática de portais ou calendários pessoais. Importação só com fonte aprovada, preview, validação e autoria; integração externa pode permanecer como procedimento manual documentado.</w:t>
      </w:r>
    </w:p>
    <w:p>
      <w:pPr>
        <w:pStyle w:val="Heading2"/>
      </w:pPr>
      <w:r>
        <w:t>Base de conhecimento e ajuda contextual</w:t>
      </w:r>
    </w:p>
    <w:p>
      <w:pPr>
        <w:pStyle w:val="PromptBullet"/>
        <w:numPr>
          <w:ilvl w:val="0"/>
          <w:numId w:val="10"/>
        </w:numPr>
      </w:pPr>
      <w:r>
        <w:t>Reutilize estrutura editorial do catálogo quando suficiente. Artigos precisam de título, resumo, conteúdo seguro, categoria, palavras-chave, público, campus quando aplicável, responsável, fonte, revisão e estado de publicação.</w:t>
      </w:r>
    </w:p>
    <w:p>
      <w:pPr>
        <w:pStyle w:val="PromptBullet"/>
        <w:numPr>
          <w:ilvl w:val="0"/>
          <w:numId w:val="10"/>
        </w:numPr>
      </w:pPr>
      <w:r>
        <w:t>Separe conteúdo público, restrito a usuários autenticados e interno da equipe. Faça autorização também no endpoint de busca, nos trechos de resultado e no link direto.</w:t>
      </w:r>
    </w:p>
    <w:p>
      <w:pPr>
        <w:pStyle w:val="PromptBullet"/>
        <w:numPr>
          <w:ilvl w:val="0"/>
          <w:numId w:val="10"/>
        </w:numPr>
      </w:pPr>
      <w:r>
        <w:t>Conecte artigos a serviços, campos e templates de atendimento por referência estável. Alterar um artigo não reescreve mensagens históricas nem publica automaticamente uma resposta pré-configurada sem revisão.</w:t>
      </w:r>
    </w:p>
    <w:p>
      <w:pPr>
        <w:pStyle w:val="PromptBullet"/>
        <w:numPr>
          <w:ilvl w:val="0"/>
          <w:numId w:val="10"/>
        </w:numPr>
      </w:pPr>
      <w:r>
        <w:t>Inclua orientações de envio, acompanhamento, complementação de documentos, interpretação de etapas e retirada/entrega. Diferencie conclusão, deferimento, disponibilização e entrega para não criar expectativa errada.</w:t>
      </w:r>
    </w:p>
    <w:p>
      <w:pPr>
        <w:pStyle w:val="PromptBullet"/>
        <w:numPr>
          <w:ilvl w:val="0"/>
          <w:numId w:val="10"/>
        </w:numPr>
      </w:pPr>
      <w:r>
        <w:t>O editor deve sanitizar HTML/Markdown e restringir links/arquivos. Não permita script, iframe arbitrário, URL interna sensível ou publicação de anexos privados como material de ajuda.</w:t>
      </w:r>
    </w:p>
    <w:p>
      <w:pPr>
        <w:pStyle w:val="PromptBullet"/>
        <w:numPr>
          <w:ilvl w:val="0"/>
          <w:numId w:val="10"/>
        </w:numPr>
      </w:pPr>
      <w:r>
        <w:t>Mostre última revisão e mecanismo simples de indicar orientação desatualizada, sem expor identidade do relator publicamente. Alertas editoriais podem usar a Fase 6; não publique mudanças por expiração automática.</w:t>
      </w:r>
    </w:p>
    <w:p>
      <w:pPr>
        <w:pStyle w:val="PromptBullet"/>
        <w:numPr>
          <w:ilvl w:val="0"/>
          <w:numId w:val="10"/>
        </w:numPr>
      </w:pPr>
      <w:r>
        <w:t>Conteúdo institucional deve ser revisado pela equipe responsável. Entregue textos de exemplo claramente fictícios ou rascunhos para homologação, não orientações oficiais inventadas.</w:t>
      </w:r>
    </w:p>
    <w:p>
      <w:pPr>
        <w:pStyle w:val="Heading2"/>
      </w:pPr>
      <w:r>
        <w:t>Acessibilidade e linguagem</w:t>
      </w:r>
    </w:p>
    <w:p>
      <w:pPr>
        <w:pStyle w:val="PromptBullet"/>
        <w:numPr>
          <w:ilvl w:val="0"/>
          <w:numId w:val="10"/>
        </w:numPr>
      </w:pPr>
      <w:r>
        <w:t>Use WCAG 2.2 nível AA como alvo técnico de avaliação, confirmando a referência oficial atual e os requisitos institucionais aplicáveis. Registre cobertura e limitações; ferramenta automática não certifica conformidade total.</w:t>
      </w:r>
    </w:p>
    <w:p>
      <w:pPr>
        <w:pStyle w:val="PromptBullet"/>
        <w:numPr>
          <w:ilvl w:val="0"/>
          <w:numId w:val="10"/>
        </w:numPr>
      </w:pPr>
      <w:r>
        <w:t>Revise navegação por teclado, ordem e visibilidade do foco, foco não encoberto, links/botões semânticos, nomes acessíveis, labels, mensagens de erro, contraste, zoom e reflow em viewport estreito.</w:t>
      </w:r>
    </w:p>
    <w:p>
      <w:pPr>
        <w:pStyle w:val="PromptBullet"/>
        <w:numPr>
          <w:ilvl w:val="0"/>
          <w:numId w:val="10"/>
        </w:numPr>
      </w:pPr>
      <w:r>
        <w:t>Teste menus, diálogos e selects: foco deve entrar e voltar corretamente; o usuário consegue fechar e sair sem armadilha. Alvos de interação precisam atender tamanho/espaçamento aplicável, incluindo ícones do chat.</w:t>
      </w:r>
    </w:p>
    <w:p>
      <w:pPr>
        <w:pStyle w:val="PromptBullet"/>
        <w:numPr>
          <w:ilvl w:val="0"/>
          <w:numId w:val="10"/>
        </w:numPr>
      </w:pPr>
      <w:r>
        <w:t>Formulários dinâmicos devem anunciar mudanças relevantes e associar erros aos campos. Resumo de erros deve levar ao item; obrigatoriedade não pode depender só de cor ou asterisco sem explicação.</w:t>
      </w:r>
    </w:p>
    <w:p>
      <w:pPr>
        <w:pStyle w:val="PromptBullet"/>
        <w:numPr>
          <w:ilvl w:val="0"/>
          <w:numId w:val="10"/>
        </w:numPr>
      </w:pPr>
      <w:r>
        <w:t>No chat, anuncie novas mensagens de maneira moderada, sem reler toda a conversa, mover foco do campo de digitação ou causar rolagem automática que atrapalhe leitura de mensagens antigas.</w:t>
      </w:r>
    </w:p>
    <w:p>
      <w:pPr>
        <w:pStyle w:val="PromptBullet"/>
        <w:numPr>
          <w:ilvl w:val="0"/>
          <w:numId w:val="10"/>
        </w:numPr>
      </w:pPr>
      <w:r>
        <w:t>Notificações, autosave, upload, estados de erro e atualizações de SLA precisam de informação textual acessível. Animações respeitam redução de movimento. Gráficos têm alternativa de dados.</w:t>
      </w:r>
    </w:p>
    <w:p>
      <w:pPr>
        <w:pStyle w:val="PromptBullet"/>
        <w:numPr>
          <w:ilvl w:val="0"/>
          <w:numId w:val="10"/>
        </w:numPr>
      </w:pPr>
      <w:r>
        <w:t>Autenticação deve permitir gerenciador de senhas e colar códigos/senhas, sem testes cognitivos desnecessários. Expiração de sessão deve avisar de forma adequada e preservar rascunho com segurança.</w:t>
      </w:r>
    </w:p>
    <w:p>
      <w:pPr>
        <w:pStyle w:val="PromptBullet"/>
        <w:numPr>
          <w:ilvl w:val="0"/>
          <w:numId w:val="10"/>
        </w:numPr>
      </w:pPr>
      <w:r>
        <w:t>Mantenha português brasileiro claro, datas e horários consistentes, explicação de siglas e ações específicas. Não use apenas cor para distinguir deferido/indeferido nem mensagens técnicas para o discente.</w:t>
      </w:r>
    </w:p>
    <w:p>
      <w:pPr>
        <w:pStyle w:val="PromptBullet"/>
        <w:numPr>
          <w:ilvl w:val="0"/>
          <w:numId w:val="10"/>
        </w:numPr>
      </w:pPr>
      <w:r>
        <w:t>PDFs emitidos e orientações disponibilizadas também precisam de verificação de leitura/estrutura; se o gerador não produzir PDF acessível, forneça alternativa HTML equivalente e registre a limitação a resolver, sem declarar o PDF acessível por aparência.</w:t>
      </w:r>
    </w:p>
    <w:p>
      <w:pPr>
        <w:pStyle w:val="Heading2"/>
      </w:pPr>
      <w:r>
        <w:t>Testes e critérios específicos</w:t>
      </w:r>
    </w:p>
    <w:p>
      <w:pPr>
        <w:pStyle w:val="PromptBullet"/>
        <w:numPr>
          <w:ilvl w:val="0"/>
          <w:numId w:val="10"/>
        </w:numPr>
      </w:pPr>
      <w:r>
        <w:t>Teste publicação/desativação do catálogo e artigo; busca sem vazamento interno; permissão por campus; serviço externo sem protocolo local; snapshot antigo preservado; fonte pendente não exibida como norma vigente.</w:t>
      </w:r>
    </w:p>
    <w:p>
      <w:pPr>
        <w:pStyle w:val="PromptBullet"/>
        <w:numPr>
          <w:ilvl w:val="0"/>
          <w:numId w:val="10"/>
        </w:numPr>
      </w:pPr>
      <w:r>
        <w:t>Teste janelas antes, dentro e depois do limite; timezone; intervalo conflitante; formulário aberto antes e enviado depois; exceção autorizada; alteração de calendário sem cancelar pedido; SLA usando calendário correto.</w:t>
      </w:r>
    </w:p>
    <w:p>
      <w:pPr>
        <w:pStyle w:val="PromptBullet"/>
        <w:numPr>
          <w:ilvl w:val="0"/>
          <w:numId w:val="10"/>
        </w:numPr>
      </w:pPr>
      <w:r>
        <w:t>Integre verificações automáticas de acessibilidade aos testes E2E usando ferramenta compatível. Complete com inspeção manual por teclado, zoom/reflow e leitor de tela em ambiente disponível; marque como bloqueado o que não puder executar.</w:t>
      </w:r>
    </w:p>
    <w:p>
      <w:pPr>
        <w:pStyle w:val="PromptBullet"/>
        <w:numPr>
          <w:ilvl w:val="0"/>
          <w:numId w:val="10"/>
        </w:numPr>
      </w:pPr>
      <w:r>
        <w:t>Cenário E2E: discente encontra serviço elegível, entende anexos alternativos e prazo, abre ajuda, salva rascunho e envia dentro da janela; outro serviço direciona ao canal oficial sem falso protocolo. Faça o percurso com teclado e em celular, incluindo erro de validação e retorno de foco.</w:t>
      </w:r>
    </w:p>
    <w:p>
      <w:pPr>
        <w:pStyle w:val="PromptBullet"/>
        <w:numPr>
          <w:ilvl w:val="0"/>
          <w:numId w:val="10"/>
        </w:numPr>
      </w:pPr>
      <w:r>
        <w:t>Critério específico: catálogo reflete regras aprovadas; calendário não se confunde com SLA; base de conhecimento tem revisão e controle de acesso; principais fluxos acessíveis com evidência manual/automática; pendências de conteúdo e acessibilidade permanecem explícitas.</w:t>
      </w:r>
    </w:p>
    <w:p>
      <w:pPr>
        <w:pStyle w:val="PromptBullet"/>
        <w:numPr>
          <w:ilvl w:val="0"/>
          <w:numId w:val="10"/>
        </w:numPr>
      </w:pPr>
      <w:r>
        <w:t xml:space="preserve">Referência técnica inicial a conferir: </w:t>
      </w:r>
      <w:hyperlink r:id="rId13">
        <w:r>
          <w:rPr>
            <w:color w:val="2E74B5"/>
            <w:u w:val="single"/>
          </w:rPr>
          <w:t>https://www.w3.org/TR/WCAG22/</w:t>
        </w:r>
      </w:hyperlink>
      <w:r/>
      <w:r>
        <w:t xml:space="preserve"> .</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11</w:t>
      </w:r>
    </w:p>
    <w:p>
      <w:pPr>
        <w:pStyle w:val="Heading1"/>
        <w:pageBreakBefore/>
        <w:spacing w:before="0"/>
      </w:pPr>
      <w:bookmarkStart w:id="9" w:name="Fase12"/>
      <w:r>
        <w:t>Fase 12 — Integrações, homologação e lançamento assistido</w:t>
      </w:r>
      <w:bookmarkEnd w:id="9"/>
    </w:p>
    <w:p>
      <w:pPr>
        <w:pStyle w:val="QuietNote"/>
        <w:keepNext/>
      </w:pPr>
      <w:hyperlink w:anchor="Indice">
        <w:r>
          <w:rPr>
            <w:color w:val="2E74B5"/>
            <w:u w:val="single"/>
          </w:rPr>
          <w:t>Voltar ao mapa das fases</w:t>
        </w:r>
      </w:hyperlink>
    </w:p>
    <w:p>
      <w:pPr>
        <w:pStyle w:val="PromptMarker"/>
        <w:keepNext/>
      </w:pPr>
      <w:r>
        <w:t>INÍCIO DO PROMPT — FASE 12</w:t>
      </w:r>
    </w:p>
    <w:p>
      <w:pPr/>
      <w:r>
        <w:rPr>
          <w:b/>
        </w:rPr>
        <w:t>Tarefa: Fase 12 - Integrações, homologação e lançamento assistido.</w:t>
      </w:r>
    </w:p>
    <w:p>
      <w:pPr/>
      <w:r>
        <w:t>Você está trabalhando no Chat Request, aplicação acadêmica em preparação para uso institucional no IFPE. A base conhecida é Laravel/PHP, Next.js/React, TypeScript, Tailwind, API autenticada e identificadores UUID. Confirme versões e contratos no código atual; não troque a stack para cumprir esta tarefa.</w:t>
      </w:r>
    </w:p>
    <w:p>
      <w:pPr>
        <w:pStyle w:val="Heading2"/>
      </w:pPr>
      <w:r>
        <w:t>Objetivo, sequência e autorização</w:t>
      </w:r>
    </w:p>
    <w:p>
      <w:pPr/>
      <w:r>
        <w:t>Prepare uma versão candidata ao lançamento, com testes automatizados, integração institucional quando autorizada, operação documentada, homologação e plano de piloto. Esta fase só termina institucionalmente após aprovação dos responsáveis; código concluído não equivale a aplicativo autorizado para atender alunos reais.</w:t>
      </w:r>
    </w:p>
    <w:p>
      <w:pPr/>
      <w:r>
        <w:t>Execute em blocos 12A a 12F, preservando o projeto e os limites gerais deste prompt. Você está autorizado a preparar código, configurações de exemplo, testes isolados e documentação. Publicação, migração em produção, credenciais novas, serviços pagos, alterações de DNS e comunicação com usuários dependem de autorização específica. Na ausência dela, entregue os artefatos e o ponto exato de execução, sem executar essas ações.</w:t>
      </w:r>
    </w:p>
    <w:p>
      <w:pPr>
        <w:pStyle w:val="Heading2"/>
      </w:pPr>
      <w:r>
        <w:t>Auditoria e modo de execução</w:t>
      </w:r>
    </w:p>
    <w:p>
      <w:pPr>
        <w:pStyle w:val="PromptBullet"/>
        <w:numPr>
          <w:ilvl w:val="0"/>
          <w:numId w:val="10"/>
        </w:numPr>
      </w:pPr>
      <w:r>
        <w:t>Leia README, ROADMAP_LANCAMENTO.md, AGENTS.md aplicáveis, decisões institucionais e relatórios das fases anteriores. Inspecione git status, diff e branch. Preserve alterações do usuário.</w:t>
      </w:r>
    </w:p>
    <w:p>
      <w:pPr>
        <w:pStyle w:val="PromptBullet"/>
        <w:numPr>
          <w:ilvl w:val="0"/>
          <w:numId w:val="10"/>
        </w:numPr>
      </w:pPr>
      <w:r>
        <w:t>Identifique o que já está pronto, parcial, ausente ou bloqueado. Apresente uma matriz com requisito, evidência no código/teste, lacuna e ação. Não declare uma fase anterior concluída apenas porque seu prompt existe.</w:t>
      </w:r>
    </w:p>
    <w:p>
      <w:pPr>
        <w:pStyle w:val="PromptBullet"/>
        <w:numPr>
          <w:ilvl w:val="0"/>
          <w:numId w:val="10"/>
        </w:numPr>
      </w:pPr>
      <w:r>
        <w:t>Preserve funcionalidades corretas. Complete apenas lacunas e testes ausentes. Não duplique tabelas, rotas, componentes ou configurações equivalentes. Use migrations incrementais e mantenha compatibilidade com dados existentes.</w:t>
      </w:r>
    </w:p>
    <w:p>
      <w:pPr>
        <w:pStyle w:val="PromptBullet"/>
        <w:numPr>
          <w:ilvl w:val="0"/>
          <w:numId w:val="10"/>
        </w:numPr>
      </w:pPr>
      <w:r>
        <w:t>Faça uma linha de base dos testes. Trabalhe em incrementos pequenos e verificáveis, mas implemente toda esta fase: não pare apenas no plano. Se faltar pré-requisito, resolva somente o bloqueio mínimo diretamente relacionado ou registre a dependência.</w:t>
      </w:r>
    </w:p>
    <w:p>
      <w:pPr>
        <w:pStyle w:val="PromptBullet"/>
        <w:numPr>
          <w:ilvl w:val="0"/>
          <w:numId w:val="10"/>
        </w:numPr>
      </w:pPr>
      <w:r>
        <w:t>Não faça commit, push, deploy, troca de branch, alteração de acesso público ou intervenção em produção sem solicitação explícita. Não apague mudanças locais nem execute migrate:fresh, db:wipe ou limpeza em banco desconhecido.</w:t>
      </w:r>
    </w:p>
    <w:p>
      <w:pPr>
        <w:pStyle w:val="PromptBullet"/>
        <w:numPr>
          <w:ilvl w:val="0"/>
          <w:numId w:val="10"/>
        </w:numPr>
      </w:pPr>
      <w:r>
        <w:t>Use dados fictícios, banco, armazenamento, e-mail e filas isolados. Valide o destino efetivo dos comandos, inclusive caches de configuração e variáveis herdadas. Não copie dados de produção para testes. Preserve lockfiles e dependências salvo necessidade demonstrada.</w:t>
      </w:r>
    </w:p>
    <w:p>
      <w:pPr>
        <w:pStyle w:val="PromptBullet"/>
        <w:numPr>
          <w:ilvl w:val="0"/>
          <w:numId w:val="10"/>
        </w:numPr>
      </w:pPr>
      <w:r>
        <w:t>Nunca exponha tokens, senhas, CPF, documentos acadêmicos ou estados de autenticação em código, logs, screenshots e relatórios. Prepare somente arquivos de exemplo sem valores secretos.</w:t>
      </w:r>
    </w:p>
    <w:p>
      <w:pPr>
        <w:pStyle w:val="PromptBullet"/>
        <w:numPr>
          <w:ilvl w:val="0"/>
          <w:numId w:val="10"/>
        </w:numPr>
      </w:pPr>
      <w:r>
        <w:t>Separe implementação técnica de homologação. Não invente regras do IFPE. Regras não confirmadas permanecem propostas ou desativadas; a pendência deve ser visível. O aviso de 90 dias do formulário não é SLA, prazo de resposta nem autorização para excluir dados.</w:t>
      </w:r>
    </w:p>
    <w:p>
      <w:pPr>
        <w:pStyle w:val="PromptBullet"/>
        <w:numPr>
          <w:ilvl w:val="0"/>
          <w:numId w:val="10"/>
        </w:numPr>
      </w:pPr>
      <w:r>
        <w:t>Preserve: acesso de graduados e desvinculados conforme elegibilidade; versões de formulários e documentos; distinção entre etapa, resultado e entrega; notas internas; escopos de curso, campus e setor; relógios de SLA e histórico das fases anteriores.</w:t>
      </w:r>
    </w:p>
    <w:p>
      <w:pPr>
        <w:pStyle w:val="Heading2"/>
      </w:pPr>
      <w:r>
        <w:t>12A - Auditoria de prontidão e decisões institucionais</w:t>
      </w:r>
    </w:p>
    <w:p>
      <w:pPr>
        <w:pStyle w:val="PromptBullet"/>
        <w:numPr>
          <w:ilvl w:val="0"/>
          <w:numId w:val="10"/>
        </w:numPr>
      </w:pPr>
      <w:r>
        <w:t>Revise as fases 0 a 11, incluindo ajustes 4.1 e relatórios frontend_qa. Monte matriz requisito x implementação x teste x homologação x responsável x bloqueio. Não reimplemente itens comprovadamente prontos.</w:t>
      </w:r>
    </w:p>
    <w:p>
      <w:pPr>
        <w:pStyle w:val="PromptBullet"/>
        <w:numPr>
          <w:ilvl w:val="0"/>
          <w:numId w:val="10"/>
        </w:numPr>
      </w:pPr>
      <w:r>
        <w:t>Confirme funcionamento integrado: identidade/vínculo, elegibilidade, formulário versionado, anexos privados, protocolo, chat, templates, revisão, encaminhamento, decisão, disponibilização/entrega, SLA, notificações, permissões e indicadores.</w:t>
      </w:r>
    </w:p>
    <w:p>
      <w:pPr>
        <w:pStyle w:val="PromptBullet"/>
        <w:numPr>
          <w:ilvl w:val="0"/>
          <w:numId w:val="10"/>
        </w:numPr>
      </w:pPr>
      <w:r>
        <w:t>Confirme regras com responsáveis autorizados: quais serviços entram no piloto, campi/cursos/setores, canal oficial de protocolo, documentos alternativos, calendário, prazos, perfis, guarda e conteúdo público. Registre decisões e fontes; não presuma que todos os 33 serviços estão homologados.</w:t>
      </w:r>
    </w:p>
    <w:p>
      <w:pPr>
        <w:pStyle w:val="PromptBullet"/>
        <w:numPr>
          <w:ilvl w:val="0"/>
          <w:numId w:val="10"/>
        </w:numPr>
      </w:pPr>
      <w:r>
        <w:t>Classifique integrações como obrigatórias para lançamento, opcionais ou futuras. Se uma integração obrigatória não tiver acesso/contrato, o lançamento fica bloqueado; se for opcional, mantenha-a desativada e documente a limitação.</w:t>
      </w:r>
    </w:p>
    <w:p>
      <w:pPr>
        <w:pStyle w:val="PromptBullet"/>
        <w:numPr>
          <w:ilvl w:val="0"/>
          <w:numId w:val="10"/>
        </w:numPr>
      </w:pPr>
      <w:r>
        <w:t>Defina critérios de aceite e métricas do piloto com a equipe. Metas de capacidade, disponibilidade, RPO/RTO e tempo de resposta precisam de validação; não invente números institucionais para fazer testes passarem.</w:t>
      </w:r>
    </w:p>
    <w:p>
      <w:pPr>
        <w:pStyle w:val="Heading2"/>
      </w:pPr>
      <w:r>
        <w:t>12B - Autenticação institucional e SUAP, quando viáveis</w:t>
      </w:r>
    </w:p>
    <w:p>
      <w:pPr>
        <w:pStyle w:val="PromptBullet"/>
        <w:numPr>
          <w:ilvl w:val="0"/>
          <w:numId w:val="10"/>
        </w:numPr>
      </w:pPr>
      <w:r>
        <w:t>Antes de codificar, verifique documentação oficial, ambiente de teste, autorização e escopos realmente disponíveis. Não suponha que o SUAP local exponha uma API pública específica ou suporte o protocolo de autenticação desejado.</w:t>
      </w:r>
    </w:p>
    <w:p>
      <w:pPr>
        <w:pStyle w:val="PromptBullet"/>
        <w:numPr>
          <w:ilvl w:val="0"/>
          <w:numId w:val="10"/>
        </w:numPr>
      </w:pPr>
      <w:r>
        <w:t>Crie uma interface/adaptador pequena para o provedor confirmado e configuração desativada por padrão. Simulador local pode apoiar testes, claramente identificado; ele não comprova integração real.</w:t>
      </w:r>
    </w:p>
    <w:p>
      <w:pPr>
        <w:pStyle w:val="PromptBullet"/>
        <w:numPr>
          <w:ilvl w:val="0"/>
          <w:numId w:val="10"/>
        </w:numPr>
      </w:pPr>
      <w:r>
        <w:t>Para SSO, use biblioteca mantida compatível com o protocolo autorizado. Se for OpenID Connect, valide emissor, audiência, assinatura, validade, state e nonce, usando PKCE no fluxo apropriado; limite URLs de retorno e trate rotação de chaves. Não implemente autenticação criptográfica própria.</w:t>
      </w:r>
    </w:p>
    <w:p>
      <w:pPr>
        <w:pStyle w:val="PromptBullet"/>
        <w:numPr>
          <w:ilvl w:val="0"/>
          <w:numId w:val="10"/>
        </w:numPr>
      </w:pPr>
      <w:r>
        <w:t>Relacione contas por identificador estável do provedor, associado ao emissor. Não una contas automaticamente só por e-mail ou nome. Migração/vinculação de conta existente requer prova adequada e trilha auditável; duplicidade fica em revisão, sem apropriar histórico.</w:t>
      </w:r>
    </w:p>
    <w:p>
      <w:pPr>
        <w:pStyle w:val="PromptBullet"/>
        <w:numPr>
          <w:ilvl w:val="0"/>
          <w:numId w:val="10"/>
        </w:numPr>
      </w:pPr>
      <w:r>
        <w:t>Trate vínculos múltiplos, graduados e desvinculados conforme regras aprovadas. Ausência de vínculo ativo não pode destruir conta ou pedidos antigos. Autenticação válida não concede papel de staff ou acesso global automaticamente.</w:t>
      </w:r>
    </w:p>
    <w:p>
      <w:pPr>
        <w:pStyle w:val="PromptBullet"/>
        <w:numPr>
          <w:ilvl w:val="0"/>
          <w:numId w:val="10"/>
        </w:numPr>
      </w:pPr>
      <w:r>
        <w:t>Separe fonte de verdade por campo: identificação/vínculo externo, preferências locais, snapshots históricos e decisões do Chat Request. Sincronização de cadastro não reescreve requerimento enviado nem sobrescreve parecer local.</w:t>
      </w:r>
    </w:p>
    <w:p>
      <w:pPr>
        <w:pStyle w:val="PromptBullet"/>
        <w:numPr>
          <w:ilvl w:val="0"/>
          <w:numId w:val="10"/>
        </w:numPr>
      </w:pPr>
      <w:r>
        <w:t>Comece por consultas estritamente necessárias, com escopo mínimo, timeout, limitação de chamadas e cache identificado por data. Diferencie dado desatualizado, indisponibilidade e revogação confirmada. Uma falha do provedor não autoriza elevar permissões.</w:t>
      </w:r>
    </w:p>
    <w:p>
      <w:pPr>
        <w:pStyle w:val="PromptBullet"/>
        <w:numPr>
          <w:ilvl w:val="0"/>
          <w:numId w:val="10"/>
        </w:numPr>
      </w:pPr>
      <w:r>
        <w:t>Envio de requerimento ou escrita no SUAP não faz parte do padrão desta fase. Só implemente se existir contrato oficial e autorização explícita, com estados pendente/confirmado/falhou e referência externa real. Nunca exiba protocolo oficial fictício ou confirme sucesso apenas pelo clique local.</w:t>
      </w:r>
    </w:p>
    <w:p>
      <w:pPr>
        <w:pStyle w:val="PromptBullet"/>
        <w:numPr>
          <w:ilvl w:val="0"/>
          <w:numId w:val="10"/>
        </w:numPr>
      </w:pPr>
      <w:r>
        <w:t>Quando necessário, use idempotência, retries limitados e reconciliação. Webhooks exigem autenticação, proteção contra replay e duplicação conforme contrato. Evite loop de sincronização e reenvio automático de efeitos sem confirmação.</w:t>
      </w:r>
    </w:p>
    <w:p>
      <w:pPr>
        <w:pStyle w:val="PromptBullet"/>
        <w:numPr>
          <w:ilvl w:val="0"/>
          <w:numId w:val="10"/>
        </w:numPr>
      </w:pPr>
      <w:r>
        <w:t>Credenciais ficam em mecanismo de configuração autorizado e fora do repositório. Não extraia tokens de navegador, não faça scraping de área autenticada nem peça senha acadêmica para armazenar no aplicativo.</w:t>
      </w:r>
    </w:p>
    <w:p>
      <w:pPr>
        <w:pStyle w:val="PromptBullet"/>
        <w:numPr>
          <w:ilvl w:val="0"/>
          <w:numId w:val="10"/>
        </w:numPr>
      </w:pPr>
      <w:r>
        <w:t>Preserve login atual até migração homologada, sem criar bypass de política institucional. Defina acesso emergencial limitado e auditado se aprovado. Com integração indisponível, teste mensagens úteis, isolamento e recuperação, não um modo de acesso irrestrito.</w:t>
      </w:r>
    </w:p>
    <w:p>
      <w:pPr>
        <w:pStyle w:val="PromptBullet"/>
        <w:numPr>
          <w:ilvl w:val="0"/>
          <w:numId w:val="10"/>
        </w:numPr>
      </w:pPr>
      <w:r>
        <w:t>Se acesso real estiver bloqueado, entregue contrato de adaptador, fixtures, testes e lista objetiva do que a TI deve fornecer. Não marque integração como concluída e não tente contornar a restrição.</w:t>
      </w:r>
    </w:p>
    <w:p>
      <w:pPr>
        <w:pStyle w:val="Heading2"/>
      </w:pPr>
      <w:r>
        <w:t>12C - Build, ambientes e validação contínua</w:t>
      </w:r>
    </w:p>
    <w:p>
      <w:pPr>
        <w:pStyle w:val="PromptBullet"/>
        <w:numPr>
          <w:ilvl w:val="0"/>
          <w:numId w:val="10"/>
        </w:numPr>
      </w:pPr>
      <w:r>
        <w:t>Identifique infraestrutura efetiva antes de escolher contêiner, proxy, banco, fila ou hospedagem. Reutilize configuração existente. Não migre de plataforma ou contrate serviço somente por preferência técnica.</w:t>
      </w:r>
    </w:p>
    <w:p>
      <w:pPr>
        <w:pStyle w:val="PromptBullet"/>
        <w:numPr>
          <w:ilvl w:val="0"/>
          <w:numId w:val="10"/>
        </w:numPr>
      </w:pPr>
      <w:r>
        <w:t>Prepare ambiente de homologação separado, com dados fictícios, banco/storage próprios e e-mail capturado ou destinatários explicitamente permitidos. Jobs restaurados e integrações reais devem permanecer bloqueados por configuração segura.</w:t>
      </w:r>
    </w:p>
    <w:p>
      <w:pPr>
        <w:pStyle w:val="PromptBullet"/>
        <w:numPr>
          <w:ilvl w:val="0"/>
          <w:numId w:val="10"/>
        </w:numPr>
      </w:pPr>
      <w:r>
        <w:t>Documente versões de PHP, Node, banco e serviços, com build reproduzível pelos lockfiles. Verifique suporte e avisos atuais nas fontes oficiais das dependências; proponha upgrades necessários separadamente quando houver quebra relevante.</w:t>
      </w:r>
    </w:p>
    <w:p>
      <w:pPr>
        <w:pStyle w:val="PromptBullet"/>
        <w:numPr>
          <w:ilvl w:val="0"/>
          <w:numId w:val="10"/>
        </w:numPr>
      </w:pPr>
      <w:r>
        <w:t>Revise variáveis públicas do Next.js para impedir exposição de segredo no bundle. Configure origem da API, domínio, CORS restrito, HTTPS, proxy confiável, cookies/tokens e armazenamento privado de acordo com o ambiente escolhido.</w:t>
      </w:r>
    </w:p>
    <w:p>
      <w:pPr>
        <w:pStyle w:val="PromptBullet"/>
        <w:numPr>
          <w:ilvl w:val="0"/>
          <w:numId w:val="10"/>
        </w:numPr>
      </w:pPr>
      <w:r>
        <w:t>Prepare rotina de worker, scheduler, migrations e cache da aplicação. Documente ordem, validação de saúde, reinício de workers e compatibilidade entre versão nova e antiga. Não use comandos de reconstrução destrutiva de banco para publicar.</w:t>
      </w:r>
    </w:p>
    <w:p>
      <w:pPr>
        <w:pStyle w:val="PromptBullet"/>
        <w:numPr>
          <w:ilvl w:val="0"/>
          <w:numId w:val="10"/>
        </w:numPr>
      </w:pPr>
      <w:r>
        <w:t>Crie ou complete CI em arquivos do repositório: back-end, lint/TypeScript, build, testes de integração, E2E principais e acessibilidade automática. Use banco compatível com produção para comportamentos de transação, índices e locking; SQLite isolado não comprova semântica de outro SGBD.</w:t>
      </w:r>
    </w:p>
    <w:p>
      <w:pPr>
        <w:pStyle w:val="PromptBullet"/>
        <w:numPr>
          <w:ilvl w:val="0"/>
          <w:numId w:val="10"/>
        </w:numPr>
      </w:pPr>
      <w:r>
        <w:t>A suíte de front-end deve executar nos pull requests conforme plataforma existente, com API real de teste e dados sintéticos. Mudanças em rotas, schema, permissão, serviços, componentes ou estilos precisam selecionar testes pertinentes e manter uma regressão essencial, sem depender somente de snapshots.</w:t>
      </w:r>
    </w:p>
    <w:p>
      <w:pPr>
        <w:pStyle w:val="PromptBullet"/>
        <w:numPr>
          <w:ilvl w:val="0"/>
          <w:numId w:val="10"/>
        </w:numPr>
      </w:pPr>
      <w:r>
        <w:t>Inclua verificações de dependências/segredos dentro do ambiente autorizado, permissões mínimas do job e cuidado com PRs de forks. Não exponha segredos a código não confiável; não publique traces, vídeos ou relatórios contendo tokens e dados pessoais.</w:t>
      </w:r>
    </w:p>
    <w:p>
      <w:pPr>
        <w:pStyle w:val="PromptBullet"/>
        <w:numPr>
          <w:ilvl w:val="0"/>
          <w:numId w:val="10"/>
        </w:numPr>
      </w:pPr>
      <w:r>
        <w:t>Distingua configuração de CI versionada de automação realmente ativa no serviço remoto. Não faça push, altere branch protection ou permissões do GitHub sem autorização; documente a ativação necessária e evidencie o que foi executado apenas localmente.</w:t>
      </w:r>
    </w:p>
    <w:p>
      <w:pPr>
        <w:pStyle w:val="Heading2"/>
      </w:pPr>
      <w:r>
        <w:t>12D - Homologação integrada, carga e recuperação</w:t>
      </w:r>
    </w:p>
    <w:p>
      <w:pPr>
        <w:pStyle w:val="PromptBullet"/>
        <w:numPr>
          <w:ilvl w:val="0"/>
          <w:numId w:val="10"/>
        </w:numPr>
      </w:pPr>
      <w:r>
        <w:t>Crie roteiro de aceite com aluno, CRADT, coordenação, gestor e administrador, incluindo perfis sem permissão. Cada cenário registra entrada fictícia, passos, resultado esperado, evidência, responsável e estado.</w:t>
      </w:r>
    </w:p>
    <w:p>
      <w:pPr>
        <w:pStyle w:val="PromptBullet"/>
        <w:numPr>
          <w:ilvl w:val="0"/>
          <w:numId w:val="10"/>
        </w:numPr>
      </w:pPr>
      <w:r>
        <w:t>Cubra fluxo completo do serviço digital e orientação a canal externo; rascunho e versão; anexo pendente/rejeitado/substituído; resposta pré-configurada sem envio automático; encaminhamento; parecer; deferimento/indeferimento; disponibilização versus entrega; cancelamento/reabertura conforme política.</w:t>
      </w:r>
    </w:p>
    <w:p>
      <w:pPr>
        <w:pStyle w:val="PromptBullet"/>
        <w:numPr>
          <w:ilvl w:val="0"/>
          <w:numId w:val="10"/>
        </w:numPr>
      </w:pPr>
      <w:r>
        <w:t>Teste SLA pausado, alertas, preferências de e-mail, perda de acesso, pesquisa de satisfação e indicadores reconciliados. Inclua duas sessões simultâneas, múltiplas abas, retry de envio e atualização após recarregar.</w:t>
      </w:r>
    </w:p>
    <w:p>
      <w:pPr>
        <w:pStyle w:val="PromptBullet"/>
        <w:numPr>
          <w:ilvl w:val="0"/>
          <w:numId w:val="10"/>
        </w:numPr>
      </w:pPr>
      <w:r>
        <w:t>Valide desktop/celular, teclado, leitor de tela quando disponível, rede instável, sessão expirada, API fora do ar, falha no upload e recuperação sem perder rascunho. Registre limitações de browsers/dispositivos efetivamente testados.</w:t>
      </w:r>
    </w:p>
    <w:p>
      <w:pPr>
        <w:pStyle w:val="PromptBullet"/>
        <w:numPr>
          <w:ilvl w:val="0"/>
          <w:numId w:val="10"/>
        </w:numPr>
      </w:pPr>
      <w:r>
        <w:t>Execute carga apenas em ambiente autorizado, com limites combinados e dados sintéticos. Meça latência, erros, consultas, memória, fila e comportamento de polling/upload sob simultaneidade; não ataque ambiente real nem gere volume ilimitado.</w:t>
      </w:r>
    </w:p>
    <w:p>
      <w:pPr>
        <w:pStyle w:val="PromptBullet"/>
        <w:numPr>
          <w:ilvl w:val="0"/>
          <w:numId w:val="10"/>
        </w:numPr>
      </w:pPr>
      <w:r>
        <w:t>Faça teste de restauração e ensaio de publicação/retorno em ambiente isolado. Valide dados e arquivos, chaves, permissão e filas sem disparar avisos reais. Meça RPO/RTO observados e compare com metas aprovadas, sem transformar estimativa em garantia.</w:t>
      </w:r>
    </w:p>
    <w:p>
      <w:pPr>
        <w:pStyle w:val="PromptBullet"/>
        <w:numPr>
          <w:ilvl w:val="0"/>
          <w:numId w:val="10"/>
        </w:numPr>
      </w:pPr>
      <w:r>
        <w:t>Correções devem repetir cenários afetados e regressão essencial. Falhas críticas não podem ser silenciadas por retry ilimitado, teste ignorado ou baseline visual aceito sem revisão.</w:t>
      </w:r>
    </w:p>
    <w:p>
      <w:pPr>
        <w:pStyle w:val="Heading2"/>
      </w:pPr>
      <w:r>
        <w:t>12E - Operação, piloto e treinamento</w:t>
      </w:r>
    </w:p>
    <w:p>
      <w:pPr>
        <w:pStyle w:val="PromptBullet"/>
        <w:numPr>
          <w:ilvl w:val="0"/>
          <w:numId w:val="10"/>
        </w:numPr>
      </w:pPr>
      <w:r>
        <w:t>Entregue runbooks para disponibilidade, fila travada, e-mail falho, armazenamento cheio, recuperação, conta comprometida, revogação, incidente de dados e indisponibilidade do provedor institucional. Use responsáveis/canais confirmados ou pendências identificadas.</w:t>
      </w:r>
    </w:p>
    <w:p>
      <w:pPr>
        <w:pStyle w:val="PromptBullet"/>
        <w:numPr>
          <w:ilvl w:val="0"/>
          <w:numId w:val="10"/>
        </w:numPr>
      </w:pPr>
      <w:r>
        <w:t>Prepare health checks sem segredos e observabilidade com logs estruturados, correlação e métricas: erros, latência, backlog/idade de jobs, falha de envio, espaço e restauração verificada. Não envie conteúdo acadêmico a ferramentas externas sem aprovação.</w:t>
      </w:r>
    </w:p>
    <w:p>
      <w:pPr>
        <w:pStyle w:val="PromptBullet"/>
        <w:numPr>
          <w:ilvl w:val="0"/>
          <w:numId w:val="10"/>
        </w:numPr>
      </w:pPr>
      <w:r>
        <w:t>Defina alertas acionáveis e limiares com a TI, sem confundir monitoramento técnico com SLA acadêmico. Documente quem reage e como reduzir ruído. Configure serviços externos somente após autorização.</w:t>
      </w:r>
    </w:p>
    <w:p>
      <w:pPr>
        <w:pStyle w:val="PromptBullet"/>
        <w:numPr>
          <w:ilvl w:val="0"/>
          <w:numId w:val="10"/>
        </w:numPr>
      </w:pPr>
      <w:r>
        <w:t>Organize piloto limitado a serviços e públicos aprovados, com suporte, coleta de problemas e reconciliação com o procedimento institucional vigente. Fallback manual deve preservar rastreabilidade, sem prometer protocolo digital que não foi emitido.</w:t>
      </w:r>
    </w:p>
    <w:p>
      <w:pPr>
        <w:pStyle w:val="PromptBullet"/>
        <w:numPr>
          <w:ilvl w:val="0"/>
          <w:numId w:val="10"/>
        </w:numPr>
      </w:pPr>
      <w:r>
        <w:t>Produza manuais separados para aluno, atendente, coordenação/admin e operação técnica. Use telas atuais com dados fictícios; inclua privacidade, documentos, decisão/entrega, limites de acesso e forma de reportar problema.</w:t>
      </w:r>
    </w:p>
    <w:p>
      <w:pPr>
        <w:pStyle w:val="PromptBullet"/>
        <w:numPr>
          <w:ilvl w:val="0"/>
          <w:numId w:val="10"/>
        </w:numPr>
      </w:pPr>
      <w:r>
        <w:t>Prepare roteiro de treinamento e checklist de entrada/saída de atendentes. Não cadastre usuários reais, envie convites ou divulgue lançamento sem solicitação explícita.</w:t>
      </w:r>
    </w:p>
    <w:p>
      <w:pPr>
        <w:pStyle w:val="Heading2"/>
      </w:pPr>
      <w:r>
        <w:t>12F - Gate de lançamento e entrega final</w:t>
      </w:r>
    </w:p>
    <w:p>
      <w:pPr>
        <w:pStyle w:val="PromptBullet"/>
        <w:numPr>
          <w:ilvl w:val="0"/>
          <w:numId w:val="10"/>
        </w:numPr>
      </w:pPr>
      <w:r>
        <w:t>Gere matriz GO/NO-GO com segurança/autorização, funcionamento ponta a ponta, homologação de serviços/regras, acessibilidade, desempenho, backup restaurado, operação, privacidade e integrações obrigatórias. Para cada item, anexe evidência e decisão responsável.</w:t>
      </w:r>
    </w:p>
    <w:p>
      <w:pPr>
        <w:pStyle w:val="PromptBullet"/>
        <w:numPr>
          <w:ilvl w:val="0"/>
          <w:numId w:val="10"/>
        </w:numPr>
      </w:pPr>
      <w:r>
        <w:t>Qualquer falha que permita acesso indevido, perda de dados, protocolo duplicado, documento público ou decisão incorreta bloqueia lançamento. Risco residual precisa de avaliação real, não aprovação presumida escrita pelo próprio agente.</w:t>
      </w:r>
    </w:p>
    <w:p>
      <w:pPr>
        <w:pStyle w:val="PromptBullet"/>
        <w:numPr>
          <w:ilvl w:val="0"/>
          <w:numId w:val="10"/>
        </w:numPr>
      </w:pPr>
      <w:r>
        <w:t>Liste separadamente: aprovado tecnicamente, pendente de homologação, dependente de acesso institucional e fora do escopo. Integração opcional desativada não deve aparecer como concluída nem impedir o restante do preparo se não for requisito do piloto.</w:t>
      </w:r>
    </w:p>
    <w:p>
      <w:pPr>
        <w:pStyle w:val="PromptBullet"/>
        <w:numPr>
          <w:ilvl w:val="0"/>
          <w:numId w:val="10"/>
        </w:numPr>
      </w:pPr>
      <w:r>
        <w:t>Prepare plano de publicação com versão, alvo exato, pré-checagens, backup validado, migrations compatíveis, smoke tests, critérios de abortar e rollback. Retorno de código pode ser seguro mesmo quando rollback de schema/dados não é; nunca prometa reversão automática destrutiva.</w:t>
      </w:r>
    </w:p>
    <w:p>
      <w:pPr>
        <w:pStyle w:val="PromptBullet"/>
        <w:numPr>
          <w:ilvl w:val="0"/>
          <w:numId w:val="10"/>
        </w:numPr>
      </w:pPr>
      <w:r>
        <w:t>Antes de qualquer ação real, peça autorização específica para ambiente, versão e operações externas. Este prompt não constitui autorização de produção. Se não houver aprovação, finalize com plano pronto e bloqueio claramente informado.</w:t>
      </w:r>
    </w:p>
    <w:p>
      <w:pPr>
        <w:pStyle w:val="PromptBullet"/>
        <w:numPr>
          <w:ilvl w:val="0"/>
          <w:numId w:val="10"/>
        </w:numPr>
      </w:pPr>
      <w:r>
        <w:t>Critério específico: versão candidata reproduzível, regressão demonstrada, documentação e runbooks utilizáveis, evidências de recuperação, frontend_qa concluído ou limitações explícitas, matriz GO/NO-GO e nenhuma pendência obrigatória escondida sob o rótulo de 100% pronto.</w:t>
      </w:r>
    </w:p>
    <w:p>
      <w:pPr>
        <w:pStyle w:val="Heading2"/>
        <w:keepNext/>
        <w:keepLines/>
      </w:pPr>
      <w:r>
        <w:t>Verificação técnica, visual e entrega</w:t>
      </w:r>
    </w:p>
    <w:p>
      <w:pPr>
        <w:pStyle w:val="PromptBullet"/>
        <w:keepNext/>
        <w:keepLines/>
        <w:numPr>
          <w:ilvl w:val="0"/>
          <w:numId w:val="10"/>
        </w:numPr>
      </w:pPr>
      <w:r>
        <w:t>Execute testes de back-end e regressão, migrations isoladas, verificação de rotas, lint, TypeScript e build. Confira scripts reais em package.json e demais manifests; não presuma comandos. Formate apenas o escopo necessário.</w:t>
      </w:r>
    </w:p>
    <w:p>
      <w:pPr>
        <w:pStyle w:val="PromptBullet"/>
        <w:keepNext/>
        <w:keepLines/>
        <w:numPr>
          <w:ilvl w:val="0"/>
          <w:numId w:val="10"/>
        </w:numPr>
      </w:pPr>
      <w:r>
        <w:t>Crie testes E2E persistentes para cada comportamento novo. Com implementação estável, delegue ao frontend_qa, se disponível, a validação do diff em navegador real, desktop e celular. Nenhum outro agente deve alterar esse código durante a validação final.</w:t>
      </w:r>
    </w:p>
    <w:p>
      <w:pPr>
        <w:pStyle w:val="PromptBullet"/>
        <w:keepNext/>
        <w:keepLines/>
        <w:numPr>
          <w:ilvl w:val="0"/>
          <w:numId w:val="10"/>
        </w:numPr>
      </w:pPr>
      <w:r>
        <w:t>Verifique elementos utilizáveis, persistência após recarregar, perfis, estados vazios/erro, console e rede. O implementador corrige; o QA não altera produto ou testes para aprovar. Sem subagente disponível, execute o roteiro diretamente e registre a limitação.</w:t>
      </w:r>
    </w:p>
    <w:p>
      <w:pPr>
        <w:pStyle w:val="PromptBullet"/>
        <w:keepNext/>
        <w:keepLines/>
        <w:numPr>
          <w:ilvl w:val="0"/>
          <w:numId w:val="10"/>
        </w:numPr>
      </w:pPr>
      <w:r>
        <w:t>Use API e banco reais de teste nos fluxos principais. Identifique mocks externos. Traces podem conter tokens: restrinja acesso, remova segredos e não versione nem publique sem revisão.</w:t>
      </w:r>
    </w:p>
    <w:p>
      <w:pPr>
        <w:pStyle w:val="PromptBullet"/>
        <w:keepNext/>
        <w:keepLines/>
        <w:numPr>
          <w:ilvl w:val="0"/>
          <w:numId w:val="10"/>
        </w:numPr>
      </w:pPr>
      <w:r>
        <w:t>Classifique resultados: passou, falhou, bloqueado ou não executado. Não descarte testes instáveis nem aceite baseline visual automaticamente para esconder regressão. Build aprovado não comprova funcionalidade visível.</w:t>
      </w:r>
    </w:p>
    <w:p>
      <w:pPr>
        <w:pStyle w:val="PromptBullet"/>
        <w:keepNext/>
        <w:keepLines/>
        <w:numPr>
          <w:ilvl w:val="0"/>
          <w:numId w:val="10"/>
        </w:numPr>
      </w:pPr>
      <w:r>
        <w:t>Atualize README, roadmap, API, permissões, ambiente, migrations, roteiro manual e pendências. Separe implementado, testado localmente, homologado e autorizado para produção.</w:t>
      </w:r>
    </w:p>
    <w:p>
      <w:pPr>
        <w:pStyle w:val="PromptBullet"/>
        <w:keepNext/>
        <w:keepLines/>
        <w:numPr>
          <w:ilvl w:val="0"/>
          <w:numId w:val="10"/>
        </w:numPr>
      </w:pPr>
      <w:r>
        <w:t>Entregue matriz inicial; itens preservados; arquivos/modelagem/endpoints; comandos e resultados reais; evidências frontend_qa; compatibilidade/migrations; riscos/bloqueios; operação e próxima fase; diff/branch e ações externas não executadas.</w:t>
      </w:r>
    </w:p>
    <w:p>
      <w:pPr>
        <w:pStyle w:val="PromptBullet"/>
        <w:keepNext/>
        <w:keepLines/>
        <w:numPr>
          <w:ilvl w:val="0"/>
          <w:numId w:val="10"/>
        </w:numPr>
      </w:pPr>
      <w:r>
        <w:t>Conclua somente com critérios demonstrados ou bloqueios explícitos. Continue itens independentes quando houver dúvida institucional parcial; peça orientação antes de ampliar autoridade ou escopo.</w:t>
      </w:r>
    </w:p>
    <w:p>
      <w:pPr>
        <w:pStyle w:val="PromptMarker"/>
      </w:pPr>
      <w:r>
        <w:t>FIM DO PROMPT — FASE 12</w:t>
      </w:r>
    </w:p>
    <w:p>
      <w:pPr>
        <w:pStyle w:val="Heading1"/>
        <w:pageBreakBefore/>
        <w:spacing w:before="0"/>
      </w:pPr>
      <w:bookmarkStart w:id="10" w:name="Referencias"/>
      <w:r>
        <w:t>Referências e limites</w:t>
      </w:r>
      <w:bookmarkEnd w:id="10"/>
    </w:p>
    <w:p>
      <w:r>
        <w:t>Os prompts consolidam requisitos do projeto e propostas técnicas de implementação. As fontes oficiais abaixo ajudam a conferir privacidade, acessibilidade e recursos do framework; não substituem homologação acadêmica, avaliação jurídica ou inspeção do código atual.</w:t>
      </w:r>
    </w:p>
    <w:p>
      <w:pPr>
        <w:pStyle w:val="Heading2"/>
      </w:pPr>
      <w:r>
        <w:t>Projeto indicado pelo usuário</w:t>
      </w:r>
    </w:p>
    <w:p>
      <w:hyperlink r:id="rId14">
        <w:r>
          <w:rPr>
            <w:color w:val="2E74B5"/>
            <w:u w:val="single"/>
          </w:rPr>
          <w:t>Chat Request no GitHub</w:t>
        </w:r>
      </w:hyperlink>
    </w:p>
    <w:p>
      <w:r>
        <w:t>A cópia local em uso no Codex deve ser auditada antes de cada fase.</w:t>
      </w:r>
    </w:p>
    <w:p>
      <w:pPr>
        <w:pStyle w:val="Heading2"/>
      </w:pPr>
      <w:r>
        <w:t>Fase 6 — infraestrutura de notificações</w:t>
      </w:r>
    </w:p>
    <w:p>
      <w:hyperlink r:id="rId15">
        <w:r>
          <w:rPr>
            <w:color w:val="2E74B5"/>
            <w:u w:val="single"/>
          </w:rPr>
          <w:t>Laravel 12: Notifications</w:t>
        </w:r>
      </w:hyperlink>
    </w:p>
    <w:p>
      <w:r>
        <w:t>Referência técnica; o executor deve consultar a documentação da versão instalada.</w:t>
      </w:r>
    </w:p>
    <w:p>
      <w:pPr>
        <w:pStyle w:val="Heading2"/>
      </w:pPr>
      <w:r>
        <w:t>Fase 9 — proteção de dados</w:t>
      </w:r>
    </w:p>
    <w:p>
      <w:hyperlink r:id="rId11">
        <w:r>
          <w:rPr>
            <w:color w:val="2E74B5"/>
            <w:u w:val="single"/>
          </w:rPr>
          <w:t>Lei Geral de Proteção de Dados Pessoais — texto oficial</w:t>
        </w:r>
      </w:hyperlink>
    </w:p>
    <w:p>
      <w:r>
        <w:t>Finalidade, hipóteses legais, direitos e decisões de guarda precisam de avaliação institucional.</w:t>
      </w:r>
    </w:p>
    <w:p>
      <w:pPr>
        <w:pStyle w:val="Heading2"/>
      </w:pPr>
      <w:r>
        <w:t>Fase 9 — governança institucional</w:t>
      </w:r>
    </w:p>
    <w:p>
      <w:hyperlink r:id="rId12">
        <w:r>
          <w:rPr>
            <w:color w:val="2E74B5"/>
            <w:u w:val="single"/>
          </w:rPr>
          <w:t>IFPE: legislação interna sobre proteção de dados</w:t>
        </w:r>
      </w:hyperlink>
    </w:p>
    <w:p>
      <w:r>
        <w:t>Verificar atos vigentes e o procedimento aplicável antes de ativar políticas.</w:t>
      </w:r>
    </w:p>
    <w:p>
      <w:pPr>
        <w:pStyle w:val="Heading2"/>
      </w:pPr>
      <w:r>
        <w:t>Fase 11 — acessibilidade</w:t>
      </w:r>
    </w:p>
    <w:p>
      <w:hyperlink r:id="rId13">
        <w:r>
          <w:rPr>
            <w:color w:val="2E74B5"/>
            <w:u w:val="single"/>
          </w:rPr>
          <w:t>W3C: Web Content Accessibility Guidelines 2.2</w:t>
        </w:r>
      </w:hyperlink>
    </w:p>
    <w:p>
      <w:r>
        <w:t>Alvo técnico de avaliação, com verificações manuais além das automáticas.</w:t>
      </w:r>
    </w:p>
    <w:p>
      <w:pPr>
        <w:pStyle w:val="Heading2"/>
      </w:pPr>
      <w:r>
        <w:t>Formulário institucional fornecido</w:t>
      </w:r>
    </w:p>
    <w:p>
      <w:r>
        <w:t>anexo-iii-requerimento-solicitacao-digital (1).pdf. Referência para os ajustes 4.1 preservados neste roteiro. O anexo não comprova, sozinho, a vigência atual de regras, prazos, canais ou exigências documentais.</w:t>
      </w:r>
    </w:p>
    <w:p>
      <w:pPr>
        <w:pStyle w:val="QuietNote"/>
      </w:pPr>
      <w:r>
        <w:t>Consulta das referências oficiais: 05/09/2026. Este documento não altera o repositório nem instala agentes.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Matter"/>
      <w:tabs>
        <w:tab w:pos="9360" w:val="right"/>
      </w:tabs>
    </w:pPr>
    <w:r>
      <w:t>Fases 6–12  •  Preparação para uso no IFPE</w:t>
    </w:r>
    <w:r>
      <w:tab/>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Matter"/>
    </w:pPr>
    <w:r>
      <w:t>CHAT REQUEST  |  PROMPTS DE IMPLEMENTAÇÃO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300" w:lineRule="auto"/>
      <w:jc w:val="left"/>
    </w:pPr>
    <w:rPr>
      <w:rFonts w:ascii="Calibri" w:hAnsi="Calibri"/>
      <w:b w:val="0"/>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ullet">
    <w:name w:val="Prompt Bullet"/>
    <w:basedOn w:val="Normal"/>
    <w:pPr>
      <w:keepNext w:val="0"/>
      <w:keepLines w:val="0"/>
      <w:widowControl/>
      <w:spacing w:before="0" w:after="80" w:line="300" w:lineRule="auto"/>
      <w:ind w:left="540" w:hanging="271"/>
      <w:jc w:val="left"/>
    </w:pPr>
    <w:rPr>
      <w:rFonts w:ascii="Calibri" w:hAnsi="Calibri"/>
      <w:b w:val="0"/>
      <w:color w:val="263746"/>
      <w:sz w:val="22"/>
    </w:rPr>
  </w:style>
  <w:style w:type="paragraph" w:customStyle="1" w:styleId="CoverKicker">
    <w:name w:val="Cover Kicker"/>
    <w:basedOn w:val="Normal"/>
    <w:pPr>
      <w:keepNext/>
      <w:keepLines w:val="0"/>
      <w:widowControl/>
      <w:spacing w:before="520" w:after="280" w:line="300" w:lineRule="auto"/>
      <w:jc w:val="left"/>
    </w:pPr>
    <w:rPr>
      <w:rFonts w:ascii="Calibri" w:hAnsi="Calibri"/>
      <w:b/>
      <w:color w:val="2E74B5"/>
      <w:sz w:val="20"/>
    </w:rPr>
  </w:style>
  <w:style w:type="paragraph" w:customStyle="1" w:styleId="CoverTitle">
    <w:name w:val="Cover Title"/>
    <w:basedOn w:val="Normal"/>
    <w:pPr>
      <w:keepNext/>
      <w:keepLines/>
      <w:widowControl/>
      <w:spacing w:before="0" w:after="120" w:line="254" w:lineRule="auto"/>
      <w:jc w:val="left"/>
    </w:pPr>
    <w:rPr>
      <w:rFonts w:ascii="Calibri" w:hAnsi="Calibri"/>
      <w:b/>
      <w:color w:val="263746"/>
      <w:sz w:val="60"/>
    </w:rPr>
  </w:style>
  <w:style w:type="paragraph" w:customStyle="1" w:styleId="CoverSubtitle">
    <w:name w:val="Cover Subtitle"/>
    <w:basedOn w:val="Normal"/>
    <w:pPr>
      <w:keepNext/>
      <w:keepLines w:val="0"/>
      <w:widowControl/>
      <w:spacing w:before="0" w:after="320" w:line="264" w:lineRule="auto"/>
      <w:jc w:val="left"/>
    </w:pPr>
    <w:rPr>
      <w:rFonts w:ascii="Calibri" w:hAnsi="Calibri"/>
      <w:b w:val="0"/>
      <w:color w:val="2E74B5"/>
      <w:sz w:val="36"/>
    </w:rPr>
  </w:style>
  <w:style w:type="paragraph" w:customStyle="1" w:styleId="CoverNote">
    <w:name w:val="Cover Note"/>
    <w:basedOn w:val="Normal"/>
    <w:pPr>
      <w:keepNext w:val="0"/>
      <w:keepLines w:val="0"/>
      <w:widowControl/>
      <w:spacing w:before="0" w:after="200" w:line="300" w:lineRule="auto"/>
      <w:jc w:val="left"/>
    </w:pPr>
    <w:rPr>
      <w:rFonts w:ascii="Calibri" w:hAnsi="Calibri"/>
      <w:b w:val="0"/>
      <w:color w:val="596774"/>
      <w:sz w:val="22"/>
    </w:rPr>
  </w:style>
  <w:style w:type="paragraph" w:customStyle="1" w:styleId="PromptMarker">
    <w:name w:val="Prompt Marker"/>
    <w:basedOn w:val="Normal"/>
    <w:pPr>
      <w:keepNext w:val="0"/>
      <w:keepLines/>
      <w:widowControl/>
      <w:spacing w:before="160" w:after="160" w:line="300" w:lineRule="auto"/>
      <w:jc w:val="left"/>
    </w:pPr>
    <w:rPr>
      <w:rFonts w:ascii="Calibri" w:hAnsi="Calibri"/>
      <w:b/>
      <w:color w:val="2E74B5"/>
      <w:sz w:val="18"/>
    </w:rPr>
  </w:style>
  <w:style w:type="paragraph" w:customStyle="1" w:styleId="QuietNote">
    <w:name w:val="Quiet Note"/>
    <w:basedOn w:val="Normal"/>
    <w:pPr>
      <w:keepNext w:val="0"/>
      <w:keepLines w:val="0"/>
      <w:widowControl/>
      <w:spacing w:before="0" w:after="120" w:line="276" w:lineRule="auto"/>
      <w:jc w:val="left"/>
    </w:pPr>
    <w:rPr>
      <w:rFonts w:ascii="Calibri" w:hAnsi="Calibri"/>
      <w:b w:val="0"/>
      <w:color w:val="596774"/>
      <w:sz w:val="18"/>
    </w:rPr>
  </w:style>
  <w:style w:type="paragraph" w:customStyle="1" w:styleId="TableText">
    <w:name w:val="Table Text"/>
    <w:basedOn w:val="Normal"/>
    <w:pPr>
      <w:keepNext w:val="0"/>
      <w:keepLines/>
      <w:widowControl/>
      <w:spacing w:before="0" w:after="60" w:line="264" w:lineRule="auto"/>
      <w:jc w:val="left"/>
    </w:pPr>
    <w:rPr>
      <w:rFonts w:ascii="Calibri" w:hAnsi="Calibri"/>
      <w:b w:val="0"/>
      <w:color w:val="263746"/>
      <w:sz w:val="21"/>
    </w:rPr>
  </w:style>
  <w:style w:type="paragraph" w:customStyle="1" w:styleId="TableCitation">
    <w:name w:val="Table Citation"/>
    <w:basedOn w:val="Normal"/>
    <w:pPr>
      <w:keepNext w:val="0"/>
      <w:keepLines w:val="0"/>
      <w:widowControl/>
      <w:spacing w:before="80" w:after="80" w:line="276" w:lineRule="auto"/>
      <w:jc w:val="left"/>
    </w:pPr>
    <w:rPr>
      <w:rFonts w:ascii="Calibri" w:hAnsi="Calibri"/>
      <w:b w:val="0"/>
      <w:color w:val="596774"/>
      <w:sz w:val="18"/>
    </w:rPr>
  </w:style>
  <w:style w:type="paragraph" w:customStyle="1" w:styleId="RunningMatter">
    <w:name w:val="Running Matter"/>
    <w:basedOn w:val="Normal"/>
    <w:pPr>
      <w:keepNext w:val="0"/>
      <w:keepLines w:val="0"/>
      <w:widowControl/>
      <w:spacing w:before="0" w:after="0" w:line="240" w:lineRule="auto"/>
      <w:jc w:val="left"/>
    </w:pPr>
    <w:rPr>
      <w:rFonts w:ascii="Calibri" w:hAnsi="Calibri"/>
      <w:b w:val="0"/>
      <w:color w:val="59677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lanalto.gov.br/ccivil_03/_ato2015-2018/2018/lei/l13709.htm" TargetMode="External"/><Relationship Id="rId12" Type="http://schemas.openxmlformats.org/officeDocument/2006/relationships/hyperlink" Target="https://portal.ifpe.edu.br/acesso-a-informacao/protecao-de-dados-lgpd/legislacao-interna/" TargetMode="External"/><Relationship Id="rId13" Type="http://schemas.openxmlformats.org/officeDocument/2006/relationships/hyperlink" Target="https://www.w3.org/TR/WCAG22/" TargetMode="External"/><Relationship Id="rId14" Type="http://schemas.openxmlformats.org/officeDocument/2006/relationships/hyperlink" Target="https://github.com/lauraesterfani/Chat-Request" TargetMode="External"/><Relationship Id="rId15" Type="http://schemas.openxmlformats.org/officeDocument/2006/relationships/hyperlink" Target="https://laravel.com/framework/docs/12.x/not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Request — Prompts completos das fases 6 a 12</dc:title>
  <dc:subject>Roteiro de implementação e validação para preparação de uso no IFPE</dc:subject>
  <dc:creator/>
  <cp:keywords>Chat Request, Codex, IFPE, fases 6 a 12, testes, frontend_qa</cp:keywords>
  <dc:description>Documento de planejamento técnico; não representa homologação institucional.</dc:description>
  <cp:lastModifiedBy/>
  <cp:revision>1</cp:revision>
  <dcterms:created xsi:type="dcterms:W3CDTF">2026-09-05T00:00:00Z</dcterms:created>
  <dcterms:modified xsi:type="dcterms:W3CDTF">2026-09-05T00:00:00Z</dcterms:modified>
  <cp:category/>
</cp:coreProperties>
</file>