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3.png" ContentType="image/png"/>
  <Override PartName="/word/media/rId21.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itel"/>
      </w:pPr>
      <w:r>
        <w:t xml:space="preserve">The title</w:t>
      </w:r>
    </w:p>
    <w:p>
      <w:pPr>
        <w:pStyle w:val="Textkrper"/>
      </w:pPr>
      <w:r>
        <w:t xml:space="preserve">GCA model summaries are in Appendices 2 (monolinguals) and 3 (learners).</w:t>
      </w:r>
      <w:r>
        <w:t xml:space="preserve"> </w:t>
      </w:r>
      <w:r>
        <w:t xml:space="preserve">Figure 2 represents fixations towards the target verb over time.</w:t>
      </w:r>
      <w:r>
        <w:t xml:space="preserve"> </w:t>
      </w:r>
      <w:r>
        <w:t xml:space="preserve">The figure suggests that all groups fixated on target verbs above chance before hearing the suffix, and that monolinguals fixated on targets earlier than L2ers.</w:t>
      </w:r>
    </w:p>
    <w:p>
      <w:pPr>
        <w:pStyle w:val="CaptionedFigure"/>
      </w:pPr>
      <w:r>
        <w:drawing>
          <wp:inline>
            <wp:extent cx="5969000" cy="3979333"/>
            <wp:effectExtent b="0" l="0" r="0" t="0"/>
            <wp:docPr descr="Figure 1:.  Figure 2. Fixations on target verbs from 400 ms before to 400 ms after the onset of verbs’ last syllable, as a function of L1 experience. Error bars represent the 95% CI across speakers in proportion of fixations on the target.." title="" id="1" name="Picture"/>
            <a:graphic>
              <a:graphicData uri="http://schemas.openxmlformats.org/drawingml/2006/picture">
                <pic:pic>
                  <pic:nvPicPr>
                    <pic:cNvPr descr="/Users/lfa/Desktop/Dissertation/figs/stress/gca/LL_changes/timecourse.png" id="0" name="Picture"/>
                    <pic:cNvPicPr>
                      <a:picLocks noChangeArrowheads="1" noChangeAspect="1"/>
                    </pic:cNvPicPr>
                  </pic:nvPicPr>
                  <pic:blipFill>
                    <a:blip r:embed="rId2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Figure 2. Fixations on target verbs from 400 ms before to 400 ms after the onset of verbs’ last syllable, as a function of L1 experience. Error bars represent the 95% CI across speakers in proportion of fixations on the target..</w:t>
      </w:r>
    </w:p>
    <w:bookmarkStart w:id="22" w:name="monolingual-results"/>
    <w:p>
      <w:pPr>
        <w:pStyle w:val="berschrift1"/>
      </w:pPr>
      <w:r>
        <w:t xml:space="preserve">Monolingual results</w:t>
      </w:r>
    </w:p>
    <w:p>
      <w:pPr>
        <w:pStyle w:val="FirstParagraph"/>
      </w:pPr>
      <w:r>
        <w:t xml:space="preserve">The linear (</w:t>
      </w:r>
      <w:r>
        <w:t xml:space="preserve">γ</w:t>
      </w:r>
      <w:r>
        <w:rPr>
          <w:vertAlign w:val="subscript"/>
        </w:rPr>
        <w:t xml:space="preserve">20</w:t>
      </w:r>
      <w:r>
        <w:t xml:space="preserve"> = 0.72; SE = 0.16;</w:t>
      </w:r>
      <w:r>
        <w:t xml:space="preserve"> </w:t>
      </w:r>
      <w:r>
        <w:rPr>
          <w:i/>
        </w:rPr>
        <w:t xml:space="preserve">t</w:t>
      </w:r>
      <w:r>
        <w:t xml:space="preserve"> = 4.47;</w:t>
      </w:r>
      <w:r>
        <w:t xml:space="preserve"> </w:t>
      </w:r>
      <w:r>
        <w:rPr>
          <w:i/>
        </w:rPr>
        <w:t xml:space="preserve">p</w:t>
      </w:r>
      <w:r>
        <w:t xml:space="preserve"> &lt; .001) and quadratic time terms (</w:t>
      </w:r>
      <w:r>
        <w:t xml:space="preserve">γ</w:t>
      </w:r>
      <w:r>
        <w:rPr>
          <w:vertAlign w:val="subscript"/>
        </w:rPr>
        <w:t xml:space="preserve">NA</w:t>
      </w:r>
      <w:r>
        <w:t xml:space="preserve"> =  NA; SE =  NA;</w:t>
      </w:r>
      <w:r>
        <w:t xml:space="preserve"> </w:t>
      </w:r>
      <w:r>
        <w:rPr>
          <w:i/>
        </w:rPr>
        <w:t xml:space="preserve">t</w:t>
      </w:r>
      <w:r>
        <w:t xml:space="preserve"> =  NA; _p_NA NA) captured the GCA curve and were retained in the model.</w:t>
      </w:r>
      <w:r>
        <w:t xml:space="preserve"> </w:t>
      </w:r>
      <w:r>
        <w:t xml:space="preserve">THe model intercept estimates the log odds of monolinguals fixating on the target above chance 200 ms after the onset of the verb’s final syllable at a 0.92 probability (lower bound = .90; upper bound = .94).</w:t>
      </w:r>
      <w:r>
        <w:t xml:space="preserve"> </w:t>
      </w:r>
      <w:r>
        <w:t xml:space="preserve">These numbers reveal that monolinguals used the lexical stress pattern to predict suffixes above chance.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0.712</w:t>
            </w:r>
          </w:p>
        </w:tc>
        <w:tc>
          <w:p>
            <w:pPr>
              <w:pStyle w:val="Compact"/>
              <w:jc w:val="right"/>
            </w:pPr>
            <w:r>
              <w:t xml:space="preserve">0.128</w:t>
            </w:r>
          </w:p>
        </w:tc>
        <w:tc>
          <w:p>
            <w:pPr>
              <w:pStyle w:val="Compact"/>
              <w:jc w:val="right"/>
            </w:pPr>
            <w:r>
              <w:t xml:space="preserve">5.583</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2.589</w:t>
            </w:r>
          </w:p>
        </w:tc>
        <w:tc>
          <w:p>
            <w:pPr>
              <w:pStyle w:val="Compact"/>
              <w:jc w:val="right"/>
            </w:pPr>
            <w:r>
              <w:t xml:space="preserve">0.305</w:t>
            </w:r>
          </w:p>
        </w:tc>
        <w:tc>
          <w:p>
            <w:pPr>
              <w:pStyle w:val="Compact"/>
              <w:jc w:val="right"/>
            </w:pPr>
            <w:r>
              <w:t xml:space="preserve">8.497</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0.717</w:t>
            </w:r>
          </w:p>
        </w:tc>
        <w:tc>
          <w:p>
            <w:pPr>
              <w:pStyle w:val="Compact"/>
              <w:jc w:val="right"/>
            </w:pPr>
            <w:r>
              <w:t xml:space="preserve">0.160</w:t>
            </w:r>
          </w:p>
        </w:tc>
        <w:tc>
          <w:p>
            <w:pPr>
              <w:pStyle w:val="Compact"/>
              <w:jc w:val="right"/>
            </w:pPr>
            <w:r>
              <w:t xml:space="preserve">4.467</w:t>
            </w:r>
          </w:p>
        </w:tc>
        <w:tc>
          <w:p>
            <w:pPr>
              <w:pStyle w:val="Compact"/>
              <w:jc w:val="right"/>
            </w:pPr>
            <w:r>
              <w:t xml:space="preserve">&lt; .001</w:t>
            </w:r>
          </w:p>
        </w:tc>
      </w:tr>
    </w:tbl>
    <w:p>
      <w:pPr>
        <w:pStyle w:val="CaptionedFigure"/>
      </w:pPr>
      <w:r>
        <w:drawing>
          <wp:inline>
            <wp:extent cx="5969000" cy="3979333"/>
            <wp:effectExtent b="0" l="0" r="0" t="0"/>
            <wp:docPr descr="Figure 2:.  Figure 3. Growth curve analysis estimates of fixations on target as a function of lexical stress for the Spanish monolingual speakers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 title="" id="1" name="Picture"/>
            <a:graphic>
              <a:graphicData uri="http://schemas.openxmlformats.org/drawingml/2006/picture">
                <pic:pic>
                  <pic:nvPicPr>
                    <pic:cNvPr descr="/Users/lfa/Desktop/Dissertation/figs/stress/gca/LL_changes/stress_mon.png" id="0" name="Picture"/>
                    <pic:cNvPicPr>
                      <a:picLocks noChangeArrowheads="1" noChangeAspect="1"/>
                    </pic:cNvPicPr>
                  </pic:nvPicPr>
                  <pic:blipFill>
                    <a:blip r:embed="rId21"/>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Figure 3. Growth curve analysis estimates of fixations on target as a function of lexical stress for the Spanish monolingual speakers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w:t>
      </w:r>
    </w:p>
    <w:bookmarkEnd w:id="22"/>
    <w:bookmarkStart w:id="24" w:name="learner-results"/>
    <w:p>
      <w:pPr>
        <w:pStyle w:val="berschrift1"/>
      </w:pPr>
      <w:r>
        <w:t xml:space="preserve">Learner results</w:t>
      </w:r>
    </w:p>
    <w:p>
      <w:pPr>
        <w:pStyle w:val="FirstParagraph"/>
      </w:pPr>
      <w:r>
        <w:t xml:space="preserve">The linear (</w:t>
      </w:r>
      <w:r>
        <w:t xml:space="preserve">γ</w:t>
      </w:r>
      <w:r>
        <w:rPr>
          <w:vertAlign w:val="subscript"/>
        </w:rPr>
        <w:t xml:space="preserve">10</w:t>
      </w:r>
      <w:r>
        <w:t xml:space="preserve"> = 1.30; SE = 0.15;</w:t>
      </w:r>
      <w:r>
        <w:t xml:space="preserve"> </w:t>
      </w:r>
      <w:r>
        <w:rPr>
          <w:i/>
        </w:rPr>
        <w:t xml:space="preserve">t</w:t>
      </w:r>
      <w:r>
        <w:t xml:space="preserve"> = 8.67;</w:t>
      </w:r>
      <w:r>
        <w:t xml:space="preserve"> </w:t>
      </w:r>
      <w:r>
        <w:rPr>
          <w:i/>
        </w:rPr>
        <w:t xml:space="preserve">p</w:t>
      </w:r>
      <w:r>
        <w:t xml:space="preserve"> &lt; .001) and quadratic (</w:t>
      </w:r>
      <w:r>
        <w:t xml:space="preserve">γ</w:t>
      </w:r>
      <w:r>
        <w:rPr>
          <w:vertAlign w:val="subscript"/>
        </w:rPr>
        <w:t xml:space="preserve">20</w:t>
      </w:r>
      <w:r>
        <w:t xml:space="preserve"> = 0.65; SE = 0.07;</w:t>
      </w:r>
      <w:r>
        <w:t xml:space="preserve"> </w:t>
      </w:r>
      <w:r>
        <w:rPr>
          <w:i/>
        </w:rPr>
        <w:t xml:space="preserve">t</w:t>
      </w:r>
      <w:r>
        <w:t xml:space="preserve"> = 9.53;</w:t>
      </w:r>
      <w:r>
        <w:t xml:space="preserve"> </w:t>
      </w:r>
      <w:r>
        <w:rPr>
          <w:i/>
        </w:rPr>
        <w:t xml:space="preserve">p</w:t>
      </w:r>
      <w:r>
        <w:t xml:space="preserve"> &lt; .001) time terms improved the curved fit.</w:t>
      </w:r>
      <w:r>
        <w:t xml:space="preserve"> </w:t>
      </w:r>
      <w:r>
        <w:t xml:space="preserve">The probabilities of all learners fixating on targets before hearing the syllable with the suffix are above chance for all conditions (Table 2).</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0.061</w:t>
            </w:r>
          </w:p>
        </w:tc>
        <w:tc>
          <w:p>
            <w:pPr>
              <w:pStyle w:val="Compact"/>
              <w:jc w:val="right"/>
            </w:pPr>
            <w:r>
              <w:t xml:space="preserve">0.068</w:t>
            </w:r>
          </w:p>
        </w:tc>
        <w:tc>
          <w:p>
            <w:pPr>
              <w:pStyle w:val="Compact"/>
              <w:jc w:val="right"/>
            </w:pPr>
            <w:r>
              <w:t xml:space="preserve">0.893</w:t>
            </w:r>
          </w:p>
        </w:tc>
        <w:tc>
          <w:p>
            <w:pPr>
              <w:pStyle w:val="Compact"/>
              <w:jc w:val="right"/>
            </w:pPr>
            <w:r>
              <w:t xml:space="preserve">.372</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1.296</w:t>
            </w:r>
          </w:p>
        </w:tc>
        <w:tc>
          <w:p>
            <w:pPr>
              <w:pStyle w:val="Compact"/>
              <w:jc w:val="right"/>
            </w:pPr>
            <w:r>
              <w:t xml:space="preserve">0.149</w:t>
            </w:r>
          </w:p>
        </w:tc>
        <w:tc>
          <w:p>
            <w:pPr>
              <w:pStyle w:val="Compact"/>
              <w:jc w:val="right"/>
            </w:pPr>
            <w:r>
              <w:t xml:space="preserve">8.674</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0.647</w:t>
            </w:r>
          </w:p>
        </w:tc>
        <w:tc>
          <w:p>
            <w:pPr>
              <w:pStyle w:val="Compact"/>
              <w:jc w:val="right"/>
            </w:pPr>
            <w:r>
              <w:t xml:space="preserve">0.068</w:t>
            </w:r>
          </w:p>
        </w:tc>
        <w:tc>
          <w:p>
            <w:pPr>
              <w:pStyle w:val="Compact"/>
              <w:jc w:val="right"/>
            </w:pPr>
            <w:r>
              <w:t xml:space="preserve">9.535</w:t>
            </w:r>
          </w:p>
        </w:tc>
        <w:tc>
          <w:p>
            <w:pPr>
              <w:pStyle w:val="Compact"/>
              <w:jc w:val="right"/>
            </w:pPr>
            <w:r>
              <w:t xml:space="preserve">&lt; .001</w:t>
            </w:r>
          </w:p>
        </w:tc>
      </w:tr>
      <w:tr>
        <w:tc>
          <w:p>
            <w:pPr>
              <w:pStyle w:val="Compact"/>
              <w:jc w:val="left"/>
            </w:pPr>
            <w:r>
              <w:t xml:space="preserve">DELE_z (</w:t>
            </w:r>
            <w:r>
              <w:t xml:space="preserve">γ</w:t>
            </w:r>
            <w:r>
              <w:rPr>
                <w:vertAlign w:val="subscript"/>
              </w:rPr>
              <w:t xml:space="preserve">01</w:t>
            </w:r>
            <w:r>
              <w:t xml:space="preserve">)</w:t>
            </w:r>
          </w:p>
        </w:tc>
        <w:tc>
          <w:p>
            <w:pPr>
              <w:pStyle w:val="Compact"/>
              <w:jc w:val="right"/>
            </w:pPr>
            <w:r>
              <w:t xml:space="preserve">0.093</w:t>
            </w:r>
          </w:p>
        </w:tc>
        <w:tc>
          <w:p>
            <w:pPr>
              <w:pStyle w:val="Compact"/>
              <w:jc w:val="right"/>
            </w:pPr>
            <w:r>
              <w:t xml:space="preserve">0.061</w:t>
            </w:r>
          </w:p>
        </w:tc>
        <w:tc>
          <w:p>
            <w:pPr>
              <w:pStyle w:val="Compact"/>
              <w:jc w:val="right"/>
            </w:pPr>
            <w:r>
              <w:t xml:space="preserve">1.524</w:t>
            </w:r>
          </w:p>
        </w:tc>
        <w:tc>
          <w:p>
            <w:pPr>
              <w:pStyle w:val="Compact"/>
              <w:jc w:val="right"/>
            </w:pPr>
            <w:r>
              <w:t xml:space="preserve">.127</w:t>
            </w:r>
          </w:p>
        </w:tc>
      </w:tr>
      <w:tr>
        <w:tc>
          <w:p>
            <w:pPr>
              <w:pStyle w:val="Compact"/>
              <w:jc w:val="left"/>
            </w:pPr>
            <w:r>
              <w:t xml:space="preserve">use_z (</w:t>
            </w:r>
            <w:r>
              <w:t xml:space="preserve">γ</w:t>
            </w:r>
            <w:r>
              <w:rPr>
                <w:vertAlign w:val="subscript"/>
              </w:rPr>
              <w:t xml:space="preserve">02</w:t>
            </w:r>
            <w:r>
              <w:t xml:space="preserve">)</w:t>
            </w:r>
          </w:p>
        </w:tc>
        <w:tc>
          <w:p>
            <w:pPr>
              <w:pStyle w:val="Compact"/>
              <w:jc w:val="right"/>
            </w:pPr>
            <w:r>
              <w:t xml:space="preserve">−0.072</w:t>
            </w:r>
          </w:p>
        </w:tc>
        <w:tc>
          <w:p>
            <w:pPr>
              <w:pStyle w:val="Compact"/>
              <w:jc w:val="right"/>
            </w:pPr>
            <w:r>
              <w:t xml:space="preserve">0.073</w:t>
            </w:r>
          </w:p>
        </w:tc>
        <w:tc>
          <w:p>
            <w:pPr>
              <w:pStyle w:val="Compact"/>
              <w:jc w:val="right"/>
            </w:pPr>
            <w:r>
              <w:t xml:space="preserve">−0.984</w:t>
            </w:r>
          </w:p>
        </w:tc>
        <w:tc>
          <w:p>
            <w:pPr>
              <w:pStyle w:val="Compact"/>
              <w:jc w:val="right"/>
            </w:pPr>
            <w:r>
              <w:t xml:space="preserve">.325</w:t>
            </w:r>
          </w:p>
        </w:tc>
      </w:tr>
      <w:tr>
        <w:tc>
          <w:p>
            <w:pPr>
              <w:pStyle w:val="Compact"/>
              <w:jc w:val="left"/>
            </w:pPr>
            <w:r>
              <w:t xml:space="preserve">Time</w:t>
            </w:r>
            <w:r>
              <w:rPr>
                <w:vertAlign w:val="superscript"/>
              </w:rPr>
              <w:t xml:space="preserve">1</w:t>
            </w:r>
            <w:r>
              <w:t xml:space="preserve"> </w:t>
            </w:r>
            <w:r>
              <w:t xml:space="preserve">× DELE_z (</w:t>
            </w:r>
            <w:r>
              <w:t xml:space="preserve">γ</w:t>
            </w:r>
            <w:r>
              <w:rPr>
                <w:vertAlign w:val="subscript"/>
              </w:rPr>
              <w:t xml:space="preserve">11</w:t>
            </w:r>
            <w:r>
              <w:t xml:space="preserve">)</w:t>
            </w:r>
          </w:p>
        </w:tc>
        <w:tc>
          <w:p>
            <w:pPr>
              <w:pStyle w:val="Compact"/>
              <w:jc w:val="right"/>
            </w:pPr>
            <w:r>
              <w:t xml:space="preserve">0.294</w:t>
            </w:r>
          </w:p>
        </w:tc>
        <w:tc>
          <w:p>
            <w:pPr>
              <w:pStyle w:val="Compact"/>
              <w:jc w:val="right"/>
            </w:pPr>
            <w:r>
              <w:t xml:space="preserve">0.119</w:t>
            </w:r>
          </w:p>
        </w:tc>
        <w:tc>
          <w:p>
            <w:pPr>
              <w:pStyle w:val="Compact"/>
              <w:jc w:val="right"/>
            </w:pPr>
            <w:r>
              <w:t xml:space="preserve">2.463</w:t>
            </w:r>
          </w:p>
        </w:tc>
        <w:tc>
          <w:p>
            <w:pPr>
              <w:pStyle w:val="Compact"/>
              <w:jc w:val="right"/>
            </w:pPr>
            <w:r>
              <w:t xml:space="preserve">.014</w:t>
            </w:r>
          </w:p>
        </w:tc>
      </w:tr>
      <w:tr>
        <w:tc>
          <w:p>
            <w:pPr>
              <w:pStyle w:val="Compact"/>
              <w:jc w:val="left"/>
            </w:pPr>
            <w:r>
              <w:t xml:space="preserve">Time</w:t>
            </w:r>
            <w:r>
              <w:rPr>
                <w:vertAlign w:val="superscript"/>
              </w:rPr>
              <w:t xml:space="preserve">1</w:t>
            </w:r>
            <w:r>
              <w:t xml:space="preserve"> </w:t>
            </w:r>
            <w:r>
              <w:t xml:space="preserve">× use_z (</w:t>
            </w:r>
            <w:r>
              <w:t xml:space="preserve">γ</w:t>
            </w:r>
            <w:r>
              <w:rPr>
                <w:vertAlign w:val="subscript"/>
              </w:rPr>
              <w:t xml:space="preserve">12</w:t>
            </w:r>
            <w:r>
              <w:t xml:space="preserve">)</w:t>
            </w:r>
          </w:p>
        </w:tc>
        <w:tc>
          <w:p>
            <w:pPr>
              <w:pStyle w:val="Compact"/>
              <w:jc w:val="right"/>
            </w:pPr>
            <w:r>
              <w:t xml:space="preserve">0.184</w:t>
            </w:r>
          </w:p>
        </w:tc>
        <w:tc>
          <w:p>
            <w:pPr>
              <w:pStyle w:val="Compact"/>
              <w:jc w:val="right"/>
            </w:pPr>
            <w:r>
              <w:t xml:space="preserve">0.140</w:t>
            </w:r>
          </w:p>
        </w:tc>
        <w:tc>
          <w:p>
            <w:pPr>
              <w:pStyle w:val="Compact"/>
              <w:jc w:val="right"/>
            </w:pPr>
            <w:r>
              <w:t xml:space="preserve">1.313</w:t>
            </w:r>
          </w:p>
        </w:tc>
        <w:tc>
          <w:p>
            <w:pPr>
              <w:pStyle w:val="Compact"/>
              <w:jc w:val="right"/>
            </w:pPr>
            <w:r>
              <w:t xml:space="preserve">.189</w:t>
            </w:r>
          </w:p>
        </w:tc>
      </w:tr>
      <w:tr>
        <w:tc>
          <w:p>
            <w:pPr>
              <w:pStyle w:val="Compact"/>
              <w:jc w:val="left"/>
            </w:pPr>
            <w:r>
              <w:t xml:space="preserve">use_z × l1_sum (</w:t>
            </w:r>
            <w:r>
              <w:t xml:space="preserve">γ</w:t>
            </w:r>
            <w:r>
              <w:rPr>
                <w:vertAlign w:val="subscript"/>
              </w:rPr>
              <w:t xml:space="preserve">03</w:t>
            </w:r>
            <w:r>
              <w:t xml:space="preserve">)</w:t>
            </w:r>
          </w:p>
        </w:tc>
        <w:tc>
          <w:p>
            <w:pPr>
              <w:pStyle w:val="Compact"/>
              <w:jc w:val="right"/>
            </w:pPr>
            <w:r>
              <w:t xml:space="preserve">0.057</w:t>
            </w:r>
          </w:p>
        </w:tc>
        <w:tc>
          <w:p>
            <w:pPr>
              <w:pStyle w:val="Compact"/>
              <w:jc w:val="right"/>
            </w:pPr>
            <w:r>
              <w:t xml:space="preserve">0.065</w:t>
            </w:r>
          </w:p>
        </w:tc>
        <w:tc>
          <w:p>
            <w:pPr>
              <w:pStyle w:val="Compact"/>
              <w:jc w:val="right"/>
            </w:pPr>
            <w:r>
              <w:t xml:space="preserve">0.882</w:t>
            </w:r>
          </w:p>
        </w:tc>
        <w:tc>
          <w:p>
            <w:pPr>
              <w:pStyle w:val="Compact"/>
              <w:jc w:val="right"/>
            </w:pPr>
            <w:r>
              <w:t xml:space="preserve">.378</w:t>
            </w:r>
          </w:p>
        </w:tc>
      </w:tr>
      <w:tr>
        <w:tc>
          <w:p>
            <w:pPr>
              <w:pStyle w:val="Compact"/>
              <w:jc w:val="left"/>
            </w:pPr>
            <w:r>
              <w:t xml:space="preserve">DELE_z × use_z (</w:t>
            </w:r>
            <w:r>
              <w:t xml:space="preserve">γ</w:t>
            </w:r>
            <w:r>
              <w:rPr>
                <w:vertAlign w:val="subscript"/>
              </w:rPr>
              <w:t xml:space="preserve">04</w:t>
            </w:r>
            <w:r>
              <w:t xml:space="preserve">)</w:t>
            </w:r>
          </w:p>
        </w:tc>
        <w:tc>
          <w:p>
            <w:pPr>
              <w:pStyle w:val="Compact"/>
              <w:jc w:val="right"/>
            </w:pPr>
            <w:r>
              <w:t xml:space="preserve">−0.015</w:t>
            </w:r>
          </w:p>
        </w:tc>
        <w:tc>
          <w:p>
            <w:pPr>
              <w:pStyle w:val="Compact"/>
              <w:jc w:val="right"/>
            </w:pPr>
            <w:r>
              <w:t xml:space="preserve">0.071</w:t>
            </w:r>
          </w:p>
        </w:tc>
        <w:tc>
          <w:p>
            <w:pPr>
              <w:pStyle w:val="Compact"/>
              <w:jc w:val="right"/>
            </w:pPr>
            <w:r>
              <w:t xml:space="preserve">−0.216</w:t>
            </w:r>
          </w:p>
        </w:tc>
        <w:tc>
          <w:p>
            <w:pPr>
              <w:pStyle w:val="Compact"/>
              <w:jc w:val="right"/>
            </w:pPr>
            <w:r>
              <w:t xml:space="preserve">.829</w:t>
            </w:r>
          </w:p>
        </w:tc>
      </w:tr>
      <w:tr>
        <w:tc>
          <w:p>
            <w:pPr>
              <w:pStyle w:val="Compact"/>
              <w:jc w:val="left"/>
            </w:pPr>
            <w:r>
              <w:t xml:space="preserve">Time</w:t>
            </w:r>
            <w:r>
              <w:rPr>
                <w:vertAlign w:val="superscript"/>
              </w:rPr>
              <w:t xml:space="preserve">1</w:t>
            </w:r>
            <w:r>
              <w:t xml:space="preserve"> </w:t>
            </w:r>
            <w:r>
              <w:t xml:space="preserve">× use_z:l1_sum (</w:t>
            </w:r>
            <w:r>
              <w:t xml:space="preserve">γ</w:t>
            </w:r>
            <w:r>
              <w:rPr>
                <w:vertAlign w:val="subscript"/>
              </w:rPr>
              <w:t xml:space="preserve">13</w:t>
            </w:r>
            <w:r>
              <w:t xml:space="preserve">)</w:t>
            </w:r>
          </w:p>
        </w:tc>
        <w:tc>
          <w:p>
            <w:pPr>
              <w:pStyle w:val="Compact"/>
              <w:jc w:val="right"/>
            </w:pPr>
            <w:r>
              <w:t xml:space="preserve">0.305</w:t>
            </w:r>
          </w:p>
        </w:tc>
        <w:tc>
          <w:p>
            <w:pPr>
              <w:pStyle w:val="Compact"/>
              <w:jc w:val="right"/>
            </w:pPr>
            <w:r>
              <w:t xml:space="preserve">0.136</w:t>
            </w:r>
          </w:p>
        </w:tc>
        <w:tc>
          <w:p>
            <w:pPr>
              <w:pStyle w:val="Compact"/>
              <w:jc w:val="right"/>
            </w:pPr>
            <w:r>
              <w:t xml:space="preserve">2.248</w:t>
            </w:r>
          </w:p>
        </w:tc>
        <w:tc>
          <w:p>
            <w:pPr>
              <w:pStyle w:val="Compact"/>
              <w:jc w:val="right"/>
            </w:pPr>
            <w:r>
              <w:t xml:space="preserve">.025</w:t>
            </w:r>
          </w:p>
        </w:tc>
      </w:tr>
      <w:tr>
        <w:tc>
          <w:p>
            <w:pPr>
              <w:pStyle w:val="Compact"/>
              <w:jc w:val="left"/>
            </w:pPr>
            <w:r>
              <w:t xml:space="preserve">Time</w:t>
            </w:r>
            <w:r>
              <w:rPr>
                <w:vertAlign w:val="superscript"/>
              </w:rPr>
              <w:t xml:space="preserve">2</w:t>
            </w:r>
            <w:r>
              <w:t xml:space="preserve"> </w:t>
            </w:r>
            <w:r>
              <w:t xml:space="preserve">× use_z:l1_sum (</w:t>
            </w:r>
            <w:r>
              <w:t xml:space="preserve">γ</w:t>
            </w:r>
            <w:r>
              <w:rPr>
                <w:vertAlign w:val="subscript"/>
              </w:rPr>
              <w:t xml:space="preserve">23</w:t>
            </w:r>
            <w:r>
              <w:t xml:space="preserve">)</w:t>
            </w:r>
          </w:p>
        </w:tc>
        <w:tc>
          <w:p>
            <w:pPr>
              <w:pStyle w:val="Compact"/>
              <w:jc w:val="right"/>
            </w:pPr>
            <w:r>
              <w:t xml:space="preserve">−0.002</w:t>
            </w:r>
          </w:p>
        </w:tc>
        <w:tc>
          <w:p>
            <w:pPr>
              <w:pStyle w:val="Compact"/>
              <w:jc w:val="right"/>
            </w:pPr>
            <w:r>
              <w:t xml:space="preserve">0.099</w:t>
            </w:r>
          </w:p>
        </w:tc>
        <w:tc>
          <w:p>
            <w:pPr>
              <w:pStyle w:val="Compact"/>
              <w:jc w:val="right"/>
            </w:pPr>
            <w:r>
              <w:t xml:space="preserve">−0.023</w:t>
            </w:r>
          </w:p>
        </w:tc>
        <w:tc>
          <w:p>
            <w:pPr>
              <w:pStyle w:val="Compact"/>
              <w:jc w:val="right"/>
            </w:pPr>
            <w:r>
              <w:t xml:space="preserve">.982</w:t>
            </w:r>
          </w:p>
        </w:tc>
      </w:tr>
      <w:tr>
        <w:tc>
          <w:p>
            <w:pPr>
              <w:pStyle w:val="Compact"/>
              <w:jc w:val="left"/>
            </w:pPr>
            <w:r>
              <w:t xml:space="preserve">Time</w:t>
            </w:r>
            <w:r>
              <w:rPr>
                <w:vertAlign w:val="superscript"/>
              </w:rPr>
              <w:t xml:space="preserve">1</w:t>
            </w:r>
            <w:r>
              <w:t xml:space="preserve"> </w:t>
            </w:r>
            <w:r>
              <w:t xml:space="preserve">× DELE_z:use_z (</w:t>
            </w:r>
            <w:r>
              <w:t xml:space="preserve">γ</w:t>
            </w:r>
            <w:r>
              <w:rPr>
                <w:vertAlign w:val="subscript"/>
              </w:rPr>
              <w:t xml:space="preserve">14</w:t>
            </w:r>
            <w:r>
              <w:t xml:space="preserve">)</w:t>
            </w:r>
          </w:p>
        </w:tc>
        <w:tc>
          <w:p>
            <w:pPr>
              <w:pStyle w:val="Compact"/>
              <w:jc w:val="right"/>
            </w:pPr>
            <w:r>
              <w:t xml:space="preserve">0.174</w:t>
            </w:r>
          </w:p>
        </w:tc>
        <w:tc>
          <w:p>
            <w:pPr>
              <w:pStyle w:val="Compact"/>
              <w:jc w:val="right"/>
            </w:pPr>
            <w:r>
              <w:t xml:space="preserve">0.153</w:t>
            </w:r>
          </w:p>
        </w:tc>
        <w:tc>
          <w:p>
            <w:pPr>
              <w:pStyle w:val="Compact"/>
              <w:jc w:val="right"/>
            </w:pPr>
            <w:r>
              <w:t xml:space="preserve">1.138</w:t>
            </w:r>
          </w:p>
        </w:tc>
        <w:tc>
          <w:p>
            <w:pPr>
              <w:pStyle w:val="Compact"/>
              <w:jc w:val="right"/>
            </w:pPr>
            <w:r>
              <w:t xml:space="preserve">.255</w:t>
            </w:r>
          </w:p>
        </w:tc>
      </w:tr>
      <w:tr>
        <w:tc>
          <w:p>
            <w:pPr>
              <w:pStyle w:val="Compact"/>
              <w:jc w:val="left"/>
            </w:pPr>
            <w:r>
              <w:t xml:space="preserve">DELE_z × use_z:l1_sum (</w:t>
            </w:r>
            <w:r>
              <w:t xml:space="preserve">γ</w:t>
            </w:r>
            <w:r>
              <w:rPr>
                <w:vertAlign w:val="subscript"/>
              </w:rPr>
              <w:t xml:space="preserve">05</w:t>
            </w:r>
            <w:r>
              <w:t xml:space="preserve">)</w:t>
            </w:r>
          </w:p>
        </w:tc>
        <w:tc>
          <w:p>
            <w:pPr>
              <w:pStyle w:val="Compact"/>
              <w:jc w:val="right"/>
            </w:pPr>
            <w:r>
              <w:t xml:space="preserve">0.004</w:t>
            </w:r>
          </w:p>
        </w:tc>
        <w:tc>
          <w:p>
            <w:pPr>
              <w:pStyle w:val="Compact"/>
              <w:jc w:val="right"/>
            </w:pPr>
            <w:r>
              <w:t xml:space="preserve">0.066</w:t>
            </w:r>
          </w:p>
        </w:tc>
        <w:tc>
          <w:p>
            <w:pPr>
              <w:pStyle w:val="Compact"/>
              <w:jc w:val="right"/>
            </w:pPr>
            <w:r>
              <w:t xml:space="preserve">0.063</w:t>
            </w:r>
          </w:p>
        </w:tc>
        <w:tc>
          <w:p>
            <w:pPr>
              <w:pStyle w:val="Compact"/>
              <w:jc w:val="right"/>
            </w:pPr>
            <w:r>
              <w:t xml:space="preserve">.949</w:t>
            </w:r>
          </w:p>
        </w:tc>
      </w:tr>
      <w:tr>
        <w:tc>
          <w:p>
            <w:pPr>
              <w:pStyle w:val="Compact"/>
              <w:jc w:val="left"/>
            </w:pPr>
            <w:r>
              <w:t xml:space="preserve">Time</w:t>
            </w:r>
            <w:r>
              <w:rPr>
                <w:vertAlign w:val="superscript"/>
              </w:rPr>
              <w:t xml:space="preserve">1</w:t>
            </w:r>
            <w:r>
              <w:t xml:space="preserve"> </w:t>
            </w:r>
            <w:r>
              <w:t xml:space="preserve">× DELE_z:use_z:l1_sum (</w:t>
            </w:r>
            <w:r>
              <w:t xml:space="preserve">γ</w:t>
            </w:r>
            <w:r>
              <w:rPr>
                <w:vertAlign w:val="subscript"/>
              </w:rPr>
              <w:t xml:space="preserve">15</w:t>
            </w:r>
            <w:r>
              <w:t xml:space="preserve">)</w:t>
            </w:r>
          </w:p>
        </w:tc>
        <w:tc>
          <w:p>
            <w:pPr>
              <w:pStyle w:val="Compact"/>
              <w:jc w:val="right"/>
            </w:pPr>
            <w:r>
              <w:t xml:space="preserve">0.310</w:t>
            </w:r>
          </w:p>
        </w:tc>
        <w:tc>
          <w:p>
            <w:pPr>
              <w:pStyle w:val="Compact"/>
              <w:jc w:val="right"/>
            </w:pPr>
            <w:r>
              <w:t xml:space="preserve">0.142</w:t>
            </w:r>
          </w:p>
        </w:tc>
        <w:tc>
          <w:p>
            <w:pPr>
              <w:pStyle w:val="Compact"/>
              <w:jc w:val="right"/>
            </w:pPr>
            <w:r>
              <w:t xml:space="preserve">2.186</w:t>
            </w:r>
          </w:p>
        </w:tc>
        <w:tc>
          <w:p>
            <w:pPr>
              <w:pStyle w:val="Compact"/>
              <w:jc w:val="right"/>
            </w:pPr>
            <w:r>
              <w:t xml:space="preserve">.029</w:t>
            </w:r>
          </w:p>
        </w:tc>
      </w:tr>
      <w:tr>
        <w:tc>
          <w:p>
            <w:pPr>
              <w:pStyle w:val="Compact"/>
              <w:jc w:val="left"/>
            </w:pPr>
            <w:r>
              <w:t xml:space="preserve">Time</w:t>
            </w:r>
            <w:r>
              <w:rPr>
                <w:vertAlign w:val="superscript"/>
              </w:rPr>
              <w:t xml:space="preserve">2</w:t>
            </w:r>
            <w:r>
              <w:t xml:space="preserve"> </w:t>
            </w:r>
            <w:r>
              <w:t xml:space="preserve">× DELE_z:use_z:l1_sum (</w:t>
            </w:r>
            <w:r>
              <w:t xml:space="preserve">γ</w:t>
            </w:r>
            <w:r>
              <w:rPr>
                <w:vertAlign w:val="subscript"/>
              </w:rPr>
              <w:t xml:space="preserve">25</w:t>
            </w:r>
            <w:r>
              <w:t xml:space="preserve">)</w:t>
            </w:r>
          </w:p>
        </w:tc>
        <w:tc>
          <w:p>
            <w:pPr>
              <w:pStyle w:val="Compact"/>
              <w:jc w:val="right"/>
            </w:pPr>
            <w:r>
              <w:t xml:space="preserve">0.039</w:t>
            </w:r>
          </w:p>
        </w:tc>
        <w:tc>
          <w:p>
            <w:pPr>
              <w:pStyle w:val="Compact"/>
              <w:jc w:val="right"/>
            </w:pPr>
            <w:r>
              <w:t xml:space="preserve">0.106</w:t>
            </w:r>
          </w:p>
        </w:tc>
        <w:tc>
          <w:p>
            <w:pPr>
              <w:pStyle w:val="Compact"/>
              <w:jc w:val="right"/>
            </w:pPr>
            <w:r>
              <w:t xml:space="preserve">0.364</w:t>
            </w:r>
          </w:p>
        </w:tc>
        <w:tc>
          <w:p>
            <w:pPr>
              <w:pStyle w:val="Compact"/>
              <w:jc w:val="right"/>
            </w:pPr>
            <w:r>
              <w:t xml:space="preserve">.716</w:t>
            </w:r>
          </w:p>
        </w:tc>
      </w:tr>
    </w:tbl>
    <w:p>
      <w:pPr>
        <w:pStyle w:val="Textkrper"/>
      </w:pPr>
      <w:r>
        <w:t xml:space="preserve">Table ¿3?: Model estimates for probability of target fixations ±SE at 200 ms after the last syllable’s onset as a function of L2 proficiency and use. Their values represent the mean (0), one standard deviation below (-1), and one standard deviation above (1) for normalized scores. The first digit in the sub-index indicates whether the effect occurs on the intercept (0), the linear time term (1), or the quadratic time term (2). The second digit refers to the effects themselves (0 = intercept, 1 = Spanish proficiency, 2 = Spanish use, etc.).</w:t>
      </w:r>
    </w:p>
    <w:p>
      <w:pPr>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360"/>
        <w:tblLook w:firstRow="1" w:lastRow="0" w:firstColumn="0" w:lastColumn="0" w:noHBand="0" w:noVBand="1"/>
      </w:tblPr>
      <w:tblGrid>
        <w:gridCol w:w="1080"/>
        <w:gridCol w:w="2016"/>
        <w:gridCol w:w="1728"/>
        <w:gridCol w:w="1080"/>
        <w:gridCol w:w="1728"/>
        <w:gridCol w:w="1728"/>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L1</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Spanish proficiency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Spanish use</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English</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Mandarin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r>
    </w:tbl>
    <w:p>
      <w:pPr>
        <w:pStyle w:val="Textkrper"/>
      </w:pPr>
      <w:r>
        <w:rPr>
          <w:i/>
        </w:rPr>
        <w:t xml:space="preserve">Table 2</w:t>
      </w:r>
      <w:r>
        <w:t xml:space="preserve">: Model estimates for probability of target fixations ±SE at 200 ms after the last syllable’s onset as a function of L2 proficiency.</w:t>
      </w:r>
    </w:p>
    <w:p>
      <w:pPr>
        <w:pStyle w:val="Textkrper"/>
      </w:pPr>
      <w:r>
        <w:t xml:space="preserve">There were several effects.</w:t>
      </w:r>
      <w:r>
        <w:t xml:space="preserve"> </w:t>
      </w:r>
      <w:r>
        <w:t xml:space="preserve">First, there was a main effect of L2 proficiency on the linear term (</w:t>
      </w:r>
      <w:r>
        <w:t xml:space="preserve"> chi</w:t>
      </w:r>
      <w:r>
        <w:rPr>
          <w:vertAlign w:val="superscript"/>
        </w:rPr>
        <w:t xml:space="preserve">2</w:t>
      </w:r>
      <w:r>
        <w:t xml:space="preserve">;</w:t>
      </w:r>
      <w:r>
        <w:t xml:space="preserve"> (1) = 6.499,</w:t>
      </w:r>
      <w:r>
        <w:t xml:space="preserve"> </w:t>
      </w:r>
      <w:r>
        <w:rPr>
          <w:i/>
        </w:rPr>
        <w:t xml:space="preserve">p</w:t>
      </w:r>
      <w:r>
        <w:t xml:space="preserve"> &lt; .011).</w:t>
      </w:r>
      <w:r>
        <w:t xml:space="preserve"> </w:t>
      </w:r>
      <w:r>
        <w:t xml:space="preserve">The parameter for that effect is positive (</w:t>
      </w:r>
      <w:r>
        <w:t xml:space="preserve">γ</w:t>
      </w:r>
      <w:r>
        <w:rPr>
          <w:vertAlign w:val="subscript"/>
        </w:rPr>
        <w:t xml:space="preserve">11</w:t>
      </w:r>
      <w:r>
        <w:t xml:space="preserve"> = 0.29; SE = 0.12;</w:t>
      </w:r>
      <w:r>
        <w:t xml:space="preserve"> </w:t>
      </w:r>
      <w:r>
        <w:rPr>
          <w:i/>
        </w:rPr>
        <w:t xml:space="preserve">t</w:t>
      </w:r>
      <w:r>
        <w:t xml:space="preserve"> = 2.46;</w:t>
      </w:r>
      <w:r>
        <w:t xml:space="preserve"> </w:t>
      </w:r>
      <w:r>
        <w:rPr>
          <w:i/>
        </w:rPr>
        <w:t xml:space="preserve">p</w:t>
      </w:r>
      <w:r>
        <w:t xml:space="preserve"> = .014), indicating that as proficiency increased the slope was steeper.</w:t>
      </w:r>
      <w:r>
        <w:t xml:space="preserve"> </w:t>
      </w:r>
      <w:r>
        <w:t xml:space="preserve">A steeper slope indicates participants increased the number of fixations on the target faster the higher their proficiency.</w:t>
      </w:r>
    </w:p>
    <w:p>
      <w:pPr>
        <w:pStyle w:val="Textkrper"/>
      </w:pPr>
      <w:r>
        <w:t xml:space="preserve">There was also a main effect of L2 use on the linear term (</w:t>
      </w:r>
      <w:r>
        <w:t xml:space="preserve"> chi</w:t>
      </w:r>
      <w:r>
        <w:rPr>
          <w:vertAlign w:val="superscript"/>
        </w:rPr>
        <w:t xml:space="preserve">2</w:t>
      </w:r>
      <w:r>
        <w:t xml:space="preserve">;</w:t>
      </w:r>
      <w:r>
        <w:t xml:space="preserve"> (1) = 14.961,</w:t>
      </w:r>
      <w:r>
        <w:t xml:space="preserve"> </w:t>
      </w:r>
      <w:r>
        <w:rPr>
          <w:i/>
        </w:rPr>
        <w:t xml:space="preserve">p</w:t>
      </w:r>
      <w:r>
        <w:t xml:space="preserve"> &lt; .000).</w:t>
      </w:r>
      <w:r>
        <w:t xml:space="preserve"> </w:t>
      </w:r>
      <w:r>
        <w:t xml:space="preserve">However, in the final model after testing all variables and interactions of interest the parameter was not significant.</w:t>
      </w:r>
    </w:p>
    <w:p>
      <w:pPr>
        <w:pStyle w:val="Textkrper"/>
      </w:pPr>
      <w:r>
        <w:t xml:space="preserve">There was an interaction between L1 and use on the quadratic time term (</w:t>
      </w:r>
      <w:r>
        <w:t xml:space="preserve"> chi</w:t>
      </w:r>
      <w:r>
        <w:rPr>
          <w:vertAlign w:val="superscript"/>
        </w:rPr>
        <w:t xml:space="preserve">2</w:t>
      </w:r>
      <w:r>
        <w:t xml:space="preserve">;</w:t>
      </w:r>
      <w:r>
        <w:t xml:space="preserve"> (1) = 11.418,</w:t>
      </w:r>
      <w:r>
        <w:t xml:space="preserve"> </w:t>
      </w:r>
      <w:r>
        <w:rPr>
          <w:i/>
        </w:rPr>
        <w:t xml:space="preserve">p</w:t>
      </w:r>
      <w:r>
        <w:t xml:space="preserve"> &lt; .001).</w:t>
      </w:r>
      <w:r>
        <w:t xml:space="preserve"> </w:t>
      </w:r>
      <w:r>
        <w:t xml:space="preserve">In the final model, this effect moved to the linear time term.</w:t>
      </w:r>
      <w:r>
        <w:t xml:space="preserve"> </w:t>
      </w:r>
      <w:r>
        <w:t xml:space="preserve">The positive value of the parameter indicates that for the Mandarin Chinese population the slope was steeper the higher their L2 use (</w:t>
      </w:r>
      <w:r>
        <w:t xml:space="preserve">γ</w:t>
      </w:r>
      <w:r>
        <w:rPr>
          <w:vertAlign w:val="subscript"/>
        </w:rPr>
        <w:t xml:space="preserve">13</w:t>
      </w:r>
      <w:r>
        <w:t xml:space="preserve"> = 0.31; SE = 0.14;</w:t>
      </w:r>
      <w:r>
        <w:t xml:space="preserve"> </w:t>
      </w:r>
      <w:r>
        <w:rPr>
          <w:i/>
        </w:rPr>
        <w:t xml:space="preserve">t</w:t>
      </w:r>
      <w:r>
        <w:t xml:space="preserve"> = 2.25;</w:t>
      </w:r>
      <w:r>
        <w:t xml:space="preserve"> </w:t>
      </w:r>
      <w:r>
        <w:rPr>
          <w:i/>
        </w:rPr>
        <w:t xml:space="preserve">p</w:t>
      </w:r>
      <w:r>
        <w:t xml:space="preserve"> = .025).</w:t>
      </w:r>
      <w:r>
        <w:t xml:space="preserve"> </w:t>
      </w:r>
      <w:r>
        <w:t xml:space="preserve">That is, in Chinese participants, more extensive use of Spanish was associated with faster increase of gaze fixations on the target.</w:t>
      </w:r>
    </w:p>
    <w:p>
      <w:pPr>
        <w:pStyle w:val="Textkrper"/>
      </w:pPr>
      <w:r>
        <w:t xml:space="preserve">Finally, there was a 3-way interaction between L1, L2 proficiency and L2 use on the quadratic term (</w:t>
      </w:r>
      <w:r>
        <w:t xml:space="preserve"> chi</w:t>
      </w:r>
      <w:r>
        <w:rPr>
          <w:vertAlign w:val="superscript"/>
        </w:rPr>
        <w:t xml:space="preserve">2</w:t>
      </w:r>
      <w:r>
        <w:t xml:space="preserve">;</w:t>
      </w:r>
      <w:r>
        <w:t xml:space="preserve"> (1) = 11.485,</w:t>
      </w:r>
      <w:r>
        <w:t xml:space="preserve"> </w:t>
      </w:r>
      <w:r>
        <w:rPr>
          <w:i/>
        </w:rPr>
        <w:t xml:space="preserve">p</w:t>
      </w:r>
      <w:r>
        <w:t xml:space="preserve"> &lt; .001).</w:t>
      </w:r>
      <w:r>
        <w:t xml:space="preserve"> </w:t>
      </w:r>
      <w:r>
        <w:t xml:space="preserve">Again, however, the parameter switched significance to the linear time term in the final model (</w:t>
      </w:r>
      <w:r>
        <w:t xml:space="preserve">γ</w:t>
      </w:r>
      <w:r>
        <w:rPr>
          <w:vertAlign w:val="subscript"/>
        </w:rPr>
        <w:t xml:space="preserve">15</w:t>
      </w:r>
      <w:r>
        <w:t xml:space="preserve"> = 0.31; SE = 0.14;</w:t>
      </w:r>
      <w:r>
        <w:t xml:space="preserve"> </w:t>
      </w:r>
      <w:r>
        <w:rPr>
          <w:i/>
        </w:rPr>
        <w:t xml:space="preserve">t</w:t>
      </w:r>
      <w:r>
        <w:t xml:space="preserve"> = 2.19;</w:t>
      </w:r>
      <w:r>
        <w:t xml:space="preserve"> </w:t>
      </w:r>
      <w:r>
        <w:rPr>
          <w:i/>
        </w:rPr>
        <w:t xml:space="preserve">p</w:t>
      </w:r>
      <w:r>
        <w:t xml:space="preserve"> = .029).</w:t>
      </w:r>
      <w:r>
        <w:t xml:space="preserve"> </w:t>
      </w:r>
      <w:r>
        <w:t xml:space="preserve">As shown in Figure 5, English speakers benefited from higher proficiency towards lower levels of Spanish use.</w:t>
      </w:r>
      <w:r>
        <w:t xml:space="preserve"> </w:t>
      </w:r>
      <w:r>
        <w:t xml:space="preserve">In Mandarin Chinese speakers, in contrast, higher proficiency and L2 use complemented each other, benefiting more those participants with both higher proficiency and greater L2 use, allowing them to predict faster by increasing fixations on the target faster, as represented by their steeper lines.</w:t>
      </w:r>
    </w:p>
    <w:p>
      <w:pPr>
        <w:pStyle w:val="CaptionedFigure"/>
      </w:pPr>
      <w:r>
        <w:drawing>
          <wp:inline>
            <wp:extent cx="5969000" cy="3979333"/>
            <wp:effectExtent b="0" l="0" r="0" t="0"/>
            <wp:docPr descr="Figure 3:.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 title="" id="1" name="Picture"/>
            <a:graphic>
              <a:graphicData uri="http://schemas.openxmlformats.org/drawingml/2006/picture">
                <pic:pic>
                  <pic:nvPicPr>
                    <pic:cNvPr descr="/Users/lfa/Desktop/Dissertation/figs/stress/gca/LL_changes/stress_l2_l1ot2.png" id="0" name="Picture"/>
                    <pic:cNvPicPr>
                      <a:picLocks noChangeArrowheads="1" noChangeAspect="1"/>
                    </pic:cNvPicPr>
                  </pic:nvPicPr>
                  <pic:blipFill>
                    <a:blip r:embed="rId2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w:t>
      </w:r>
    </w:p>
    <w:p>
      <w:pPr>
        <w:pStyle w:val="Textkrper"/>
      </w:pPr>
      <w:r>
        <w:t xml:space="preserve">We checked for multicollinearity between the fixed effects in the model using the variance inflation factor analysis,</w:t>
      </w:r>
      <w:r>
        <w:t xml:space="preserve"> </w:t>
      </w:r>
      <w:r>
        <w:t xml:space="preserve">All values were below 2 (see Appendix 5), indicating there was no multicollinearity.</w:t>
      </w:r>
    </w:p>
    <w:bookmarkEnd w:id="24"/>
    <w:bookmarkStart w:id="25" w:name="other-plots"/>
    <w:p>
      <w:pPr>
        <w:pStyle w:val="berschrift1"/>
      </w:pPr>
      <w:r>
        <w:t xml:space="preserve">Other plots</w:t>
      </w:r>
    </w:p>
    <w:bookmarkEnd w:id="25"/>
    <w:bookmarkStart w:id="28" w:name="tables"/>
    <w:p>
      <w:pPr>
        <w:pStyle w:val="berschrift1"/>
      </w:pPr>
      <w:r>
        <w:t xml:space="preserve">Tables</w:t>
      </w:r>
    </w:p>
    <w:bookmarkStart w:id="26" w:name="model-estimates-at-last-syllables-onset"/>
    <w:p>
      <w:pPr>
        <w:pStyle w:val="berschrift2"/>
      </w:pPr>
      <w:r>
        <w:t xml:space="preserve">Model estimates at last syllable’s onset</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0.712</w:t>
            </w:r>
          </w:p>
        </w:tc>
        <w:tc>
          <w:p>
            <w:pPr>
              <w:pStyle w:val="Compact"/>
              <w:jc w:val="right"/>
            </w:pPr>
            <w:r>
              <w:t xml:space="preserve">0.128</w:t>
            </w:r>
          </w:p>
        </w:tc>
        <w:tc>
          <w:p>
            <w:pPr>
              <w:pStyle w:val="Compact"/>
              <w:jc w:val="right"/>
            </w:pPr>
            <w:r>
              <w:t xml:space="preserve">5.583</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2.589</w:t>
            </w:r>
          </w:p>
        </w:tc>
        <w:tc>
          <w:p>
            <w:pPr>
              <w:pStyle w:val="Compact"/>
              <w:jc w:val="right"/>
            </w:pPr>
            <w:r>
              <w:t xml:space="preserve">0.305</w:t>
            </w:r>
          </w:p>
        </w:tc>
        <w:tc>
          <w:p>
            <w:pPr>
              <w:pStyle w:val="Compact"/>
              <w:jc w:val="right"/>
            </w:pPr>
            <w:r>
              <w:t xml:space="preserve">8.497</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0.717</w:t>
            </w:r>
          </w:p>
        </w:tc>
        <w:tc>
          <w:p>
            <w:pPr>
              <w:pStyle w:val="Compact"/>
              <w:jc w:val="right"/>
            </w:pPr>
            <w:r>
              <w:t xml:space="preserve">0.160</w:t>
            </w:r>
          </w:p>
        </w:tc>
        <w:tc>
          <w:p>
            <w:pPr>
              <w:pStyle w:val="Compact"/>
              <w:jc w:val="right"/>
            </w:pPr>
            <w:r>
              <w:t xml:space="preserve">4.467</w:t>
            </w:r>
          </w:p>
        </w:tc>
        <w:tc>
          <w:p>
            <w:pPr>
              <w:pStyle w:val="Compact"/>
              <w:jc w:val="right"/>
            </w:pPr>
            <w:r>
              <w:t xml:space="preserve">&lt; .001</w:t>
            </w:r>
          </w:p>
        </w:tc>
      </w:tr>
    </w:tbl>
    <w:p>
      <w:pPr>
        <w:pStyle w:val="Textkrper"/>
      </w:pPr>
      <w:r>
        <w:t xml:space="preserve">Appendix 2. Growth Curve Analysis fixed effects (monolinguals)</w:t>
      </w:r>
    </w:p>
    <w:bookmarkEnd w:id="26"/>
    <w:bookmarkStart w:id="27" w:name="random-effects"/>
    <w:p>
      <w:pPr>
        <w:pStyle w:val="berschrift2"/>
      </w:pPr>
      <w:r>
        <w:t xml:space="preserve">Random effects</w:t>
      </w:r>
    </w:p>
    <w:p>
      <w:pPr>
        <w:pStyle w:val="SourceCode"/>
      </w:pPr>
      <w:r>
        <w:rPr>
          <w:rStyle w:val="VerbatimChar"/>
        </w:rPr>
        <w:t xml:space="preserve">## Warning in names(ranef_table)[5:7] &lt;- c("Correlations", "&amp;nbsp;", " &amp;nbsp;", :</w:t>
      </w:r>
      <w:r>
        <w:br/>
      </w:r>
      <w:r>
        <w:rPr>
          <w:rStyle w:val="VerbatimChar"/>
        </w:rPr>
        <w:t xml:space="preserve">## number of items to replace is not a multiple of replacement length</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0.104</w:t>
            </w:r>
          </w:p>
        </w:tc>
        <w:tc>
          <w:p>
            <w:pPr>
              <w:pStyle w:val="Compact"/>
              <w:jc w:val="right"/>
            </w:pPr>
            <w:r>
              <w:t xml:space="preserve">0.323</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1</w:t>
            </w:r>
          </w:p>
        </w:tc>
        <w:tc>
          <w:p>
            <w:pPr>
              <w:pStyle w:val="Compact"/>
              <w:jc w:val="right"/>
            </w:pPr>
            <w:r>
              <w:t xml:space="preserve">1.317</w:t>
            </w:r>
          </w:p>
        </w:tc>
        <w:tc>
          <w:p>
            <w:pPr>
              <w:pStyle w:val="Compact"/>
              <w:jc w:val="right"/>
            </w:pPr>
            <w:r>
              <w:t xml:space="preserve">1.148</w:t>
            </w:r>
          </w:p>
        </w:tc>
        <w:tc>
          <w:p>
            <w:pPr>
              <w:pStyle w:val="Compact"/>
              <w:jc w:val="right"/>
            </w:pPr>
            <w:r>
              <w:t xml:space="preserve">.57</w:t>
            </w:r>
          </w:p>
        </w:tc>
        <w:tc>
          <w:p>
            <w:pPr>
              <w:pStyle w:val="Compact"/>
              <w:jc w:val="right"/>
            </w:pPr>
            <w:r>
              <w:t xml:space="preserve">1.00</w:t>
            </w:r>
          </w:p>
        </w:tc>
        <w:tc>
          <w:p/>
        </w:tc>
      </w:tr>
      <w:tr>
        <w:tc>
          <w:p/>
        </w:tc>
        <w:tc>
          <w:p>
            <w:pPr>
              <w:pStyle w:val="Compact"/>
              <w:jc w:val="left"/>
            </w:pPr>
            <w:r>
              <w:t xml:space="preserve">Time</w:t>
            </w:r>
            <w:r>
              <w:rPr>
                <w:vertAlign w:val="superscript"/>
              </w:rPr>
              <w:t xml:space="preserve">2</w:t>
            </w:r>
          </w:p>
        </w:tc>
        <w:tc>
          <w:p>
            <w:pPr>
              <w:pStyle w:val="Compact"/>
              <w:jc w:val="right"/>
            </w:pPr>
            <w:r>
              <w:t xml:space="preserve">0.230</w:t>
            </w:r>
          </w:p>
        </w:tc>
        <w:tc>
          <w:p>
            <w:pPr>
              <w:pStyle w:val="Compact"/>
              <w:jc w:val="right"/>
            </w:pPr>
            <w:r>
              <w:t xml:space="preserve">0.480</w:t>
            </w:r>
          </w:p>
        </w:tc>
        <w:tc>
          <w:p>
            <w:pPr>
              <w:pStyle w:val="Compact"/>
              <w:jc w:val="right"/>
            </w:pPr>
            <w:r>
              <w:t xml:space="preserve">.32</w:t>
            </w:r>
          </w:p>
        </w:tc>
        <w:tc>
          <w:p>
            <w:pPr>
              <w:pStyle w:val="Compact"/>
              <w:jc w:val="right"/>
            </w:pPr>
            <w:r>
              <w:t xml:space="preserve">.81</w:t>
            </w:r>
          </w:p>
        </w:tc>
        <w:tc>
          <w:p>
            <w:pPr>
              <w:pStyle w:val="Compact"/>
              <w:jc w:val="right"/>
            </w:pPr>
            <w:r>
              <w:t xml:space="preserve">1.00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0.348</w:t>
            </w:r>
          </w:p>
        </w:tc>
        <w:tc>
          <w:p>
            <w:pPr>
              <w:pStyle w:val="Compact"/>
              <w:jc w:val="right"/>
            </w:pPr>
            <w:r>
              <w:t xml:space="preserve">0.590</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1</w:t>
            </w:r>
          </w:p>
        </w:tc>
        <w:tc>
          <w:p>
            <w:pPr>
              <w:pStyle w:val="Compact"/>
              <w:jc w:val="right"/>
            </w:pPr>
            <w:r>
              <w:t xml:space="preserve">0.941</w:t>
            </w:r>
          </w:p>
        </w:tc>
        <w:tc>
          <w:p>
            <w:pPr>
              <w:pStyle w:val="Compact"/>
              <w:jc w:val="right"/>
            </w:pPr>
            <w:r>
              <w:t xml:space="preserve">0.970</w:t>
            </w:r>
          </w:p>
        </w:tc>
        <w:tc>
          <w:p>
            <w:pPr>
              <w:pStyle w:val="Compact"/>
              <w:jc w:val="right"/>
            </w:pPr>
            <w:r>
              <w:t xml:space="preserve">.37</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9.023</w:t>
            </w:r>
          </w:p>
        </w:tc>
        <w:tc>
          <w:p>
            <w:pPr>
              <w:pStyle w:val="Compact"/>
              <w:jc w:val="right"/>
            </w:pPr>
            <w:r>
              <w:t xml:space="preserve">3.004</w:t>
            </w:r>
          </w:p>
        </w:tc>
        <w:tc>
          <w:p/>
        </w:tc>
        <w:tc>
          <w:p/>
        </w:tc>
        <w:tc>
          <w:p/>
        </w:tc>
      </w:tr>
    </w:tbl>
    <w:p>
      <w:pPr>
        <w:pStyle w:val="Textkrper"/>
      </w:pPr>
      <w:r>
        <w:t xml:space="preserve">Appendix 5.Growth curve model random effects (monolinguals)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0.128</w:t>
            </w:r>
          </w:p>
        </w:tc>
        <w:tc>
          <w:p>
            <w:pPr>
              <w:pStyle w:val="Compact"/>
              <w:jc w:val="right"/>
            </w:pPr>
            <w:r>
              <w:t xml:space="preserve">0.358</w:t>
            </w:r>
          </w:p>
        </w:tc>
        <w:tc>
          <w:p>
            <w:pPr>
              <w:pStyle w:val="Compact"/>
              <w:jc w:val="right"/>
            </w:pPr>
            <w:r>
              <w:t xml:space="preserve">1.00</w:t>
            </w:r>
          </w:p>
        </w:tc>
        <w:tc>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0.320</w:t>
            </w:r>
          </w:p>
        </w:tc>
        <w:tc>
          <w:p>
            <w:pPr>
              <w:pStyle w:val="Compact"/>
              <w:jc w:val="right"/>
            </w:pPr>
            <w:r>
              <w:t xml:space="preserve">0.565</w:t>
            </w:r>
          </w:p>
        </w:tc>
        <w:tc>
          <w:p>
            <w:pPr>
              <w:pStyle w:val="Compact"/>
              <w:jc w:val="right"/>
            </w:pPr>
            <w:r>
              <w:t xml:space="preserve">−.03</w:t>
            </w:r>
          </w:p>
        </w:tc>
        <w:tc>
          <w:p/>
        </w:tc>
        <w:tc>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0.009</w:t>
            </w:r>
          </w:p>
        </w:tc>
        <w:tc>
          <w:p>
            <w:pPr>
              <w:pStyle w:val="Compact"/>
              <w:jc w:val="right"/>
            </w:pPr>
            <w:r>
              <w:t xml:space="preserve">0.093</w:t>
            </w:r>
          </w:p>
        </w:tc>
        <w:tc>
          <w:p>
            <w:pPr>
              <w:pStyle w:val="Compact"/>
              <w:jc w:val="right"/>
            </w:pPr>
            <w:r>
              <w:t xml:space="preserve">−1.00</w:t>
            </w:r>
          </w:p>
        </w:tc>
        <w:tc>
          <w:p/>
        </w:tc>
        <w:tc>
          <w:p/>
        </w:tc>
        <w:tc>
          <w:p>
            <w:pPr>
              <w:pStyle w:val="Compact"/>
              <w:jc w:val="right"/>
            </w:pPr>
            <w:r>
              <w:t xml:space="preserve">−.01</w:t>
            </w:r>
          </w:p>
        </w:tc>
        <w:tc>
          <w:p>
            <w:pPr>
              <w:pStyle w:val="Compact"/>
              <w:jc w:val="center"/>
            </w:pPr>
            <w:r>
              <w:t xml:space="preserve">1.00</w:t>
            </w:r>
          </w:p>
        </w:tc>
        <w:tc>
          <w:p/>
        </w:tc>
      </w:tr>
      <w:tr>
        <w:tc>
          <w:p>
            <w:pPr>
              <w:pStyle w:val="Compact"/>
              <w:jc w:val="left"/>
            </w:pPr>
            <w:r>
              <w:t xml:space="preserve">Item</w:t>
            </w:r>
          </w:p>
        </w:tc>
        <w:tc>
          <w:p>
            <w:pPr>
              <w:pStyle w:val="Compact"/>
              <w:jc w:val="left"/>
            </w:pPr>
            <w:r>
              <w:t xml:space="preserve">Intercept</w:t>
            </w:r>
          </w:p>
        </w:tc>
        <w:tc>
          <w:p>
            <w:pPr>
              <w:pStyle w:val="Compact"/>
              <w:jc w:val="right"/>
            </w:pPr>
            <w:r>
              <w:t xml:space="preserve">0.096</w:t>
            </w:r>
          </w:p>
        </w:tc>
        <w:tc>
          <w:p>
            <w:pPr>
              <w:pStyle w:val="Compact"/>
              <w:jc w:val="right"/>
            </w:pPr>
            <w:r>
              <w:t xml:space="preserve">0.310</w:t>
            </w:r>
          </w:p>
        </w:tc>
        <w:tc>
          <w:p>
            <w:pPr>
              <w:pStyle w:val="Compact"/>
              <w:jc w:val="right"/>
            </w:pPr>
            <w:r>
              <w:t xml:space="preserve">1.00</w:t>
            </w:r>
          </w:p>
        </w:tc>
        <w:tc>
          <w:p/>
        </w:tc>
        <w:tc>
          <w:p/>
        </w:tc>
        <w:tc>
          <w:p/>
        </w:tc>
        <w:tc>
          <w:p/>
        </w:tc>
        <w:tc>
          <w:p/>
        </w:tc>
      </w:tr>
      <w:tr>
        <w:tc>
          <w:p/>
        </w:tc>
        <w:tc>
          <w:p>
            <w:pPr>
              <w:pStyle w:val="Compact"/>
              <w:jc w:val="left"/>
            </w:pPr>
            <w:r>
              <w:t xml:space="preserve">DELE_z</w:t>
            </w:r>
          </w:p>
        </w:tc>
        <w:tc>
          <w:p>
            <w:pPr>
              <w:pStyle w:val="Compact"/>
              <w:jc w:val="right"/>
            </w:pPr>
            <w:r>
              <w:t xml:space="preserve">0.022</w:t>
            </w:r>
          </w:p>
        </w:tc>
        <w:tc>
          <w:p>
            <w:pPr>
              <w:pStyle w:val="Compact"/>
              <w:jc w:val="right"/>
            </w:pPr>
            <w:r>
              <w:t xml:space="preserve">0.147</w:t>
            </w:r>
          </w:p>
        </w:tc>
        <w:tc>
          <w:p>
            <w:pPr>
              <w:pStyle w:val="Compact"/>
              <w:jc w:val="right"/>
            </w:pPr>
            <w:r>
              <w:t xml:space="preserve">.30</w:t>
            </w:r>
          </w:p>
        </w:tc>
        <w:tc>
          <w:p>
            <w:pPr>
              <w:pStyle w:val="Compact"/>
              <w:jc w:val="right"/>
            </w:pPr>
            <w:r>
              <w:t xml:space="preserve">1.00</w:t>
            </w:r>
          </w:p>
        </w:tc>
        <w:tc>
          <w:p/>
        </w:tc>
        <w:tc>
          <w:p/>
        </w:tc>
        <w:tc>
          <w:p/>
        </w:tc>
        <w:tc>
          <w:p/>
        </w:tc>
      </w:tr>
      <w:tr>
        <w:tc>
          <w:p/>
        </w:tc>
        <w:tc>
          <w:p>
            <w:pPr>
              <w:pStyle w:val="Compact"/>
              <w:jc w:val="left"/>
            </w:pPr>
            <w:r>
              <w:t xml:space="preserve">use_z</w:t>
            </w:r>
          </w:p>
        </w:tc>
        <w:tc>
          <w:p>
            <w:pPr>
              <w:pStyle w:val="Compact"/>
              <w:jc w:val="right"/>
            </w:pPr>
            <w:r>
              <w:t xml:space="preserve">0.036</w:t>
            </w:r>
          </w:p>
        </w:tc>
        <w:tc>
          <w:p>
            <w:pPr>
              <w:pStyle w:val="Compact"/>
              <w:jc w:val="right"/>
            </w:pPr>
            <w:r>
              <w:t xml:space="preserve">0.190</w:t>
            </w:r>
          </w:p>
        </w:tc>
        <w:tc>
          <w:p>
            <w:pPr>
              <w:pStyle w:val="Compact"/>
              <w:jc w:val="right"/>
            </w:pPr>
            <w:r>
              <w:t xml:space="preserve">−.23</w:t>
            </w:r>
          </w:p>
        </w:tc>
        <w:tc>
          <w:p>
            <w:pPr>
              <w:pStyle w:val="Compact"/>
              <w:jc w:val="right"/>
            </w:pPr>
            <w:r>
              <w:t xml:space="preserve">.41</w:t>
            </w:r>
          </w:p>
        </w:tc>
        <w:tc>
          <w:p/>
        </w:tc>
        <w:tc>
          <w:p/>
        </w:tc>
        <w:tc>
          <w:p/>
        </w:tc>
        <w:tc>
          <w:p>
            <w:pPr>
              <w:pStyle w:val="Compact"/>
              <w:jc w:val="left"/>
            </w:pPr>
            <w:r>
              <w:t xml:space="preserve">1.00</w:t>
            </w:r>
          </w:p>
        </w:tc>
      </w:tr>
      <w:tr>
        <w:tc>
          <w:p/>
        </w:tc>
        <w:tc>
          <w:p>
            <w:pPr>
              <w:pStyle w:val="Compact"/>
              <w:jc w:val="left"/>
            </w:pPr>
            <w:r>
              <w:t xml:space="preserve">l1_sum</w:t>
            </w:r>
          </w:p>
        </w:tc>
        <w:tc>
          <w:p>
            <w:pPr>
              <w:pStyle w:val="Compact"/>
              <w:jc w:val="right"/>
            </w:pPr>
            <w:r>
              <w:t xml:space="preserve">0.030</w:t>
            </w:r>
          </w:p>
        </w:tc>
        <w:tc>
          <w:p>
            <w:pPr>
              <w:pStyle w:val="Compact"/>
              <w:jc w:val="right"/>
            </w:pPr>
            <w:r>
              <w:t xml:space="preserve">0.174</w:t>
            </w:r>
          </w:p>
        </w:tc>
        <w:tc>
          <w:p>
            <w:pPr>
              <w:pStyle w:val="Compact"/>
              <w:jc w:val="right"/>
            </w:pPr>
            <w:r>
              <w:t xml:space="preserve">−.48</w:t>
            </w:r>
          </w:p>
        </w:tc>
        <w:tc>
          <w:p>
            <w:pPr>
              <w:pStyle w:val="Compact"/>
              <w:jc w:val="right"/>
            </w:pPr>
            <w:r>
              <w:t xml:space="preserve">.26</w:t>
            </w:r>
          </w:p>
        </w:tc>
        <w:tc>
          <w:p>
            <w:pPr>
              <w:pStyle w:val="Compact"/>
              <w:jc w:val="right"/>
            </w:pPr>
            <w:r>
              <w:t xml:space="preserve">1.00</w:t>
            </w:r>
          </w:p>
        </w:tc>
        <w:tc>
          <w:p/>
        </w:tc>
        <w:tc>
          <w:p/>
        </w:tc>
        <w:tc>
          <w:p>
            <w:pPr>
              <w:pStyle w:val="Compact"/>
              <w:jc w:val="left"/>
            </w:pPr>
            <w:r>
              <w:t xml:space="preserve">−.17</w:t>
            </w:r>
          </w:p>
        </w:tc>
      </w:tr>
      <w:tr>
        <w:tc>
          <w:p/>
        </w:tc>
        <w:tc>
          <w:p>
            <w:pPr>
              <w:pStyle w:val="Compact"/>
              <w:jc w:val="left"/>
            </w:pPr>
            <w:r>
              <w:t xml:space="preserve">Time</w:t>
            </w:r>
            <w:r>
              <w:rPr>
                <w:vertAlign w:val="superscript"/>
              </w:rPr>
              <w:t xml:space="preserve">1</w:t>
            </w:r>
          </w:p>
        </w:tc>
        <w:tc>
          <w:p>
            <w:pPr>
              <w:pStyle w:val="Compact"/>
              <w:jc w:val="right"/>
            </w:pPr>
            <w:r>
              <w:t xml:space="preserve">0.409</w:t>
            </w:r>
          </w:p>
        </w:tc>
        <w:tc>
          <w:p>
            <w:pPr>
              <w:pStyle w:val="Compact"/>
              <w:jc w:val="right"/>
            </w:pPr>
            <w:r>
              <w:t xml:space="preserve">0.640</w:t>
            </w:r>
          </w:p>
        </w:tc>
        <w:tc>
          <w:p>
            <w:pPr>
              <w:pStyle w:val="Compact"/>
              <w:jc w:val="right"/>
            </w:pPr>
            <w:r>
              <w:t xml:space="preserve">−.02</w:t>
            </w:r>
          </w:p>
        </w:tc>
        <w:tc>
          <w:p>
            <w:pPr>
              <w:pStyle w:val="Compact"/>
              <w:jc w:val="right"/>
            </w:pPr>
            <w:r>
              <w:t xml:space="preserve">.10</w:t>
            </w:r>
          </w:p>
        </w:tc>
        <w:tc>
          <w:p>
            <w:pPr>
              <w:pStyle w:val="Compact"/>
              <w:jc w:val="right"/>
            </w:pPr>
            <w:r>
              <w:t xml:space="preserve">−.18</w:t>
            </w:r>
          </w:p>
        </w:tc>
        <w:tc>
          <w:p>
            <w:pPr>
              <w:pStyle w:val="Compact"/>
              <w:jc w:val="right"/>
            </w:pPr>
            <w:r>
              <w:t xml:space="preserve">1.00</w:t>
            </w:r>
          </w:p>
        </w:tc>
        <w:tc>
          <w:p/>
        </w:tc>
        <w:tc>
          <w:p>
            <w:pPr>
              <w:pStyle w:val="Compact"/>
              <w:jc w:val="left"/>
            </w:pPr>
            <w:r>
              <w:t xml:space="preserve">.29</w:t>
            </w:r>
          </w:p>
        </w:tc>
      </w:tr>
      <w:tr>
        <w:tc>
          <w:p>
            <w:pPr>
              <w:pStyle w:val="Compact"/>
              <w:jc w:val="left"/>
            </w:pPr>
            <w:r>
              <w:t xml:space="preserve">Residual</w:t>
            </w:r>
          </w:p>
        </w:tc>
        <w:tc>
          <w:p/>
        </w:tc>
        <w:tc>
          <w:p>
            <w:pPr>
              <w:pStyle w:val="Compact"/>
              <w:jc w:val="right"/>
            </w:pPr>
            <w:r>
              <w:t xml:space="preserve">9.968</w:t>
            </w:r>
          </w:p>
        </w:tc>
        <w:tc>
          <w:p>
            <w:pPr>
              <w:pStyle w:val="Compact"/>
              <w:jc w:val="right"/>
            </w:pPr>
            <w:r>
              <w:t xml:space="preserve">3.157</w:t>
            </w:r>
          </w:p>
        </w:tc>
        <w:tc>
          <w:p/>
        </w:tc>
        <w:tc>
          <w:p/>
        </w:tc>
        <w:tc>
          <w:p/>
        </w:tc>
        <w:tc>
          <w:p/>
        </w:tc>
        <w:tc>
          <w:p/>
        </w:tc>
        <w:tc>
          <w:p/>
        </w:tc>
      </w:tr>
    </w:tbl>
    <w:p>
      <w:pPr>
        <w:pStyle w:val="Textkrper"/>
      </w:pPr>
      <w:r>
        <w:t xml:space="preserve">Appendix 6: Growth curve model random effects (L2)</w:t>
      </w:r>
    </w:p>
    <w:bookmarkEnd w:id="27"/>
    <w:bookmarkEnd w:id="28"/>
    <w:bookmarkStart w:id="30" w:name="references"/>
    <w:p>
      <w:pPr>
        <w:pStyle w:val="berschrift1"/>
      </w:pPr>
      <w:r>
        <w:t xml:space="preserve">References</w:t>
      </w:r>
    </w:p>
    <w:bookmarkStart w:id="29" w:name="refere"/>
    <w:bookmarkEnd w:id="29"/>
    <w:bookmarkEnd w:id="30"/>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2021-09-29T21:55:32Z</dcterms:created>
  <dcterms:modified xsi:type="dcterms:W3CDTF">2021-09-29T21:55:32Z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/Users/lfa/Desktop/Dissertation/packrat/lib/x86_64-apple-darwin15.6.0/3.6.1/papaja/rmd/apa6.csl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shorttitle">
    <vt:lpwstr>Title</vt:lpwstr>
  </property>
  <property fmtid="{D5CDD505-2E9C-101B-9397-08002B2CF9AE}" pid="15" name="tablelist">
    <vt:lpwstr>yes</vt:lpwstr>
  </property>
</Properties>
</file>