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BE259" w14:textId="77777777" w:rsidR="00360B74" w:rsidRDefault="007C3A68">
      <w:pPr>
        <w:pStyle w:val="Title"/>
      </w:pPr>
      <w:r>
        <w:t>Results</w:t>
      </w:r>
    </w:p>
    <w:p w14:paraId="70B74F7D" w14:textId="77777777" w:rsidR="00360B74" w:rsidRDefault="007C3A68">
      <w:pPr>
        <w:pStyle w:val="FirstParagraph"/>
      </w:pPr>
      <w:r>
        <w:t> </w:t>
      </w:r>
    </w:p>
    <w:p w14:paraId="43716279" w14:textId="77777777" w:rsidR="00360B74" w:rsidRDefault="007C3A68">
      <w:pPr>
        <w:pStyle w:val="BodyText"/>
      </w:pPr>
      <w:r>
        <w:t> </w:t>
      </w:r>
    </w:p>
    <w:p w14:paraId="6FDBA3BB" w14:textId="77777777" w:rsidR="00360B74" w:rsidRDefault="007C3A68">
      <w:pPr>
        <w:pStyle w:val="BodyText"/>
      </w:pPr>
      <w:r>
        <w:t> </w:t>
      </w:r>
    </w:p>
    <w:p w14:paraId="58252CBA" w14:textId="77777777" w:rsidR="00360B74" w:rsidRDefault="007C3A68">
      <w:pPr>
        <w:pStyle w:val="BodyText"/>
      </w:pPr>
      <w:r>
        <w:t> </w:t>
      </w:r>
    </w:p>
    <w:p w14:paraId="2531B5B6" w14:textId="77777777" w:rsidR="00360B74" w:rsidRDefault="007C3A68">
      <w:pPr>
        <w:pStyle w:val="BodyText"/>
      </w:pPr>
      <w:r>
        <w:t> </w:t>
      </w:r>
    </w:p>
    <w:p w14:paraId="383CDA6E" w14:textId="77777777" w:rsidR="00DF2BEA" w:rsidRPr="00DF2BEA" w:rsidRDefault="007C3A68">
      <w:pPr>
        <w:pStyle w:val="FirstParagraph"/>
        <w:rPr>
          <w:b/>
          <w:bCs/>
        </w:rPr>
      </w:pPr>
      <w:r w:rsidRPr="00DF2BEA">
        <w:rPr>
          <w:b/>
          <w:bCs/>
        </w:rPr>
        <w:t xml:space="preserve">4.4. Data analysis </w:t>
      </w:r>
    </w:p>
    <w:p w14:paraId="58E1E144" w14:textId="592E3FA0" w:rsidR="00360B74" w:rsidRDefault="007C3A68">
      <w:pPr>
        <w:pStyle w:val="FirstParagraph"/>
      </w:pPr>
      <w:r>
        <w:t xml:space="preserve">Statistical analyses were conducted on R (R Core Team, 2021) with the package lme4 (Bates, Mächler, Bolker, &amp; Walker, 2014). </w:t>
      </w:r>
    </w:p>
    <w:p w14:paraId="6C8BCAD6" w14:textId="384832C7" w:rsidR="00360B74" w:rsidRDefault="007C3A68">
      <w:pPr>
        <w:pStyle w:val="BodyText"/>
      </w:pPr>
      <w:r>
        <w:t>In the visuospatial prediction data, trials that timed out before the participant pressed the key were discarded (~25%). Those trials whose timing exceeded two standard deviations from the mean were also rem</w:t>
      </w:r>
      <w:r>
        <w:t>oved, imitating Broeker et al. (2020). The clean data was analyzed using a generalized linear mixed model. The timing of the key press was used as outcome. The predictors were speed of the trial and direction of the car (contrast-coded). Since speed had th</w:t>
      </w:r>
      <w:r>
        <w:t xml:space="preserve">ree levels, </w:t>
      </w:r>
      <w:r w:rsidR="00DF2BEA" w:rsidRPr="00DB4CBE">
        <w:rPr>
          <w:rFonts w:cs="Times New Roman" w:hint="cs"/>
        </w:rPr>
        <w:t>the slow condition was taken as base level, and pairwise comparisons were run between the medium and fast speeds.</w:t>
      </w:r>
      <w:r>
        <w:t xml:space="preserve"> The model also contained by-subject random intercepts. The random effects not explained by the model were used as measure of visuospatial prediction ability for later analyses.</w:t>
      </w:r>
    </w:p>
    <w:p w14:paraId="367D608E" w14:textId="73770C0A" w:rsidR="00DF2BEA" w:rsidRDefault="00DF2BEA" w:rsidP="00DF2BEA">
      <w:pPr>
        <w:pStyle w:val="FirstParagraph"/>
      </w:pPr>
      <w:r>
        <w:lastRenderedPageBreak/>
        <w:t xml:space="preserve">The gaze fixation data were </w:t>
      </w:r>
      <w:proofErr w:type="spellStart"/>
      <w:r>
        <w:t>downsampled</w:t>
      </w:r>
      <w:proofErr w:type="spellEnd"/>
      <w:r>
        <w:t xml:space="preserve"> to 50 </w:t>
      </w:r>
      <w:proofErr w:type="spellStart"/>
      <w:r>
        <w:t>ms</w:t>
      </w:r>
      <w:proofErr w:type="spellEnd"/>
      <w:r>
        <w:t xml:space="preserve"> bins and incorrect responses were filtered out (0.42% of data).</w:t>
      </w:r>
      <w:r>
        <w:t xml:space="preserve"> </w:t>
      </w:r>
      <w:r w:rsidR="007C3A68">
        <w:t>A growth curve analysis (GCA, Mirman</w:t>
      </w:r>
      <w:r w:rsidR="007C3A68">
        <w:t>, 2016) with mixed effects was used to analyze the association between prediction abilities in the time window around the verb encompassing the departure of looks from chance levels. The time window spanned from 200 ms before to 200 ms after the onset of t</w:t>
      </w:r>
      <w:r w:rsidR="007C3A68">
        <w:t>he last syllable in the verb. The GCA one included stress pattern, visuospatial prediction variance, the linear and quadratic orthogonal polynomial time terms as fixed effects. The linear and quadratic orthogonal polynomial time terms model the time course</w:t>
      </w:r>
      <w:r w:rsidR="007C3A68">
        <w:t xml:space="preserve"> in the GCA. By-subject and by-item random intercepts were included. No random slopes were included as the models resulted singular when they were. The outcome data, proportion of fixations on the target at the onset of the last syllable on the verb from t</w:t>
      </w:r>
      <w:r w:rsidR="007C3A68">
        <w:t>he eye-tracking prediction task, was modified using the weighted empirical logic transformation, as it is binary data (fixations on the target or the distractor; Barr, 2008). Main effects and interactions were assessed by means of nested model comparisons.</w:t>
      </w:r>
      <w:r>
        <w:t xml:space="preserve"> </w:t>
      </w:r>
      <w:r>
        <w:t xml:space="preserve">The </w:t>
      </w:r>
      <w:r>
        <w:t>fixation probabilities were extracted for</w:t>
      </w:r>
      <w:r>
        <w:t xml:space="preserve"> 200 </w:t>
      </w:r>
      <w:proofErr w:type="spellStart"/>
      <w:r>
        <w:t>ms</w:t>
      </w:r>
      <w:proofErr w:type="spellEnd"/>
      <w:r>
        <w:t xml:space="preserve"> after the onset of the last syllable to account for saccade planning and launching, as is standard procedure in auditory eye-tracking studies (e.g., Fischer, 1992; </w:t>
      </w:r>
      <w:proofErr w:type="spellStart"/>
      <w:r>
        <w:t>Saslow</w:t>
      </w:r>
      <w:proofErr w:type="spellEnd"/>
      <w:r>
        <w:t>, 1967).</w:t>
      </w:r>
    </w:p>
    <w:p w14:paraId="49F16B7A" w14:textId="02EDFB82" w:rsidR="00360B74" w:rsidRDefault="00360B74">
      <w:pPr>
        <w:pStyle w:val="BodyText"/>
      </w:pPr>
    </w:p>
    <w:p w14:paraId="4DB50B59" w14:textId="73D80391" w:rsidR="00360B74" w:rsidRDefault="00DF2BEA">
      <w:pPr>
        <w:pStyle w:val="Heading1"/>
      </w:pPr>
      <w:bookmarkStart w:id="0" w:name="results"/>
      <w:r>
        <w:t xml:space="preserve">5. </w:t>
      </w:r>
      <w:r w:rsidR="007C3A68">
        <w:t>Results</w:t>
      </w:r>
    </w:p>
    <w:p w14:paraId="358141FB" w14:textId="0EAD7C9C" w:rsidR="00360B74" w:rsidRDefault="007C3A68">
      <w:pPr>
        <w:pStyle w:val="FirstParagraph"/>
      </w:pPr>
      <w:r>
        <w:t xml:space="preserve">A generalized linear mixed model run on the visuospatial prediction data revealed that the parameters for direction and speed were both significant. Participants pressed closer to the supposed reappearance ms in trials in which the car moved from </w:t>
      </w:r>
      <w:r>
        <w:t>left to right, in comparison to trials from right to left (</w:t>
      </w:r>
      <w:r w:rsidR="00DF2BEA" w:rsidRPr="00DF2BEA">
        <w:rPr>
          <w:i/>
          <w:iCs/>
        </w:rPr>
        <w:t>ß</w:t>
      </w:r>
      <w:r w:rsidR="00DF2BEA">
        <w:t xml:space="preserve"> </w:t>
      </w:r>
      <w:r>
        <w:t xml:space="preserve">= 0.01, SE = 0.01, </w:t>
      </w:r>
      <w:r>
        <w:rPr>
          <w:i/>
        </w:rPr>
        <w:t>t</w:t>
      </w:r>
      <w:r>
        <w:t xml:space="preserve"> = 2.54, </w:t>
      </w:r>
      <w:r>
        <w:rPr>
          <w:i/>
        </w:rPr>
        <w:t>p</w:t>
      </w:r>
      <w:r>
        <w:t xml:space="preserve"> = 0.011). In slow conditions participants were more accurate than in medium (</w:t>
      </w:r>
      <w:r w:rsidR="00DF2BEA" w:rsidRPr="00DF2BEA">
        <w:rPr>
          <w:i/>
          <w:iCs/>
        </w:rPr>
        <w:t>ß</w:t>
      </w:r>
      <w:r w:rsidR="00DF2BEA">
        <w:t xml:space="preserve"> </w:t>
      </w:r>
      <w:r>
        <w:t xml:space="preserve">= 0.07, SE = 0.01, </w:t>
      </w:r>
      <w:r>
        <w:rPr>
          <w:i/>
        </w:rPr>
        <w:t>t</w:t>
      </w:r>
      <w:r>
        <w:t xml:space="preserve"> = 5.19, </w:t>
      </w:r>
      <w:r>
        <w:rPr>
          <w:i/>
        </w:rPr>
        <w:t>p</w:t>
      </w:r>
      <w:r>
        <w:t xml:space="preserve">&lt; 0.001) and fast speed </w:t>
      </w:r>
      <w:r>
        <w:lastRenderedPageBreak/>
        <w:t>conditions (</w:t>
      </w:r>
      <w:r w:rsidR="00DF2BEA" w:rsidRPr="00DF2BEA">
        <w:rPr>
          <w:i/>
          <w:iCs/>
        </w:rPr>
        <w:t>ß</w:t>
      </w:r>
      <w:r w:rsidR="00DF2BEA">
        <w:t xml:space="preserve"> </w:t>
      </w:r>
      <w:r>
        <w:t>= </w:t>
      </w:r>
      <w:r>
        <w:t xml:space="preserve">0.04, SE = 0.01, </w:t>
      </w:r>
      <w:r>
        <w:rPr>
          <w:i/>
        </w:rPr>
        <w:t>t</w:t>
      </w:r>
      <w:r>
        <w:t xml:space="preserve"> = 2.92, </w:t>
      </w:r>
      <w:r>
        <w:rPr>
          <w:i/>
        </w:rPr>
        <w:t>p</w:t>
      </w:r>
      <w:r>
        <w:t xml:space="preserve"> = 0.004) A pairwise comparison revealed that the fast speed condition was also more accurate than the medium speed condition (</w:t>
      </w:r>
      <w:r w:rsidR="00DF2BEA" w:rsidRPr="00DF2BEA">
        <w:rPr>
          <w:i/>
          <w:iCs/>
        </w:rPr>
        <w:t>ß</w:t>
      </w:r>
      <w:r w:rsidR="00DF2BEA">
        <w:t xml:space="preserve"> </w:t>
      </w:r>
      <w:r>
        <w:t xml:space="preserve">= 0.03, SE = 0.02, </w:t>
      </w:r>
      <w:r>
        <w:rPr>
          <w:i/>
        </w:rPr>
        <w:t>t</w:t>
      </w:r>
      <w:r>
        <w:t xml:space="preserve"> = 2.03, </w:t>
      </w:r>
      <w:r>
        <w:rPr>
          <w:i/>
        </w:rPr>
        <w:t>p</w:t>
      </w:r>
      <w:r>
        <w:t xml:space="preserve"> = 0.042). The variance not explained by these results was the o</w:t>
      </w:r>
      <w:r>
        <w:t xml:space="preserve">ne used in the GCA with language prediction. </w:t>
      </w:r>
      <w:proofErr w:type="gramStart"/>
      <w:r>
        <w:t>In order to</w:t>
      </w:r>
      <w:proofErr w:type="gramEnd"/>
      <w:r>
        <w:t xml:space="preserve"> understand better possible effects, these data were summarised using descriptive analyses (see Table 1).</w:t>
      </w:r>
    </w:p>
    <w:p w14:paraId="30923368" w14:textId="77777777" w:rsidR="00DF2BEA" w:rsidRPr="00DF2BEA" w:rsidRDefault="00DF2BEA" w:rsidP="00DF2BEA">
      <w:pPr>
        <w:pStyle w:val="BodyText"/>
      </w:pPr>
    </w:p>
    <w:p w14:paraId="3414186A" w14:textId="01F96331" w:rsidR="00DF2BEA" w:rsidRDefault="007C3A68">
      <w:pPr>
        <w:pStyle w:val="BodyText"/>
      </w:pPr>
      <w:r>
        <w:rPr>
          <w:i/>
        </w:rPr>
        <w:t>Table 1.</w:t>
      </w:r>
      <w:r>
        <w:t xml:space="preserve"> </w:t>
      </w:r>
      <w:r>
        <w:t>Descriptive statistics of the variance in the visuospatial prediction data not explained by the predictors.</w:t>
      </w:r>
    </w:p>
    <w:tbl>
      <w:tblPr>
        <w:tblStyle w:val="TableGrid"/>
        <w:tblW w:w="5000" w:type="pct"/>
        <w:tblLook w:val="04A0" w:firstRow="1" w:lastRow="0" w:firstColumn="1" w:lastColumn="0" w:noHBand="0" w:noVBand="1"/>
      </w:tblPr>
      <w:tblGrid>
        <w:gridCol w:w="5234"/>
        <w:gridCol w:w="1191"/>
        <w:gridCol w:w="1003"/>
        <w:gridCol w:w="1191"/>
        <w:gridCol w:w="1003"/>
      </w:tblGrid>
      <w:tr w:rsidR="00DF2BEA" w14:paraId="374C52E7" w14:textId="77777777" w:rsidTr="00DF2BEA">
        <w:tc>
          <w:tcPr>
            <w:tcW w:w="2720" w:type="pct"/>
          </w:tcPr>
          <w:p w14:paraId="40436701" w14:textId="77777777" w:rsidR="00DF2BEA" w:rsidRDefault="00DF2BEA" w:rsidP="00DF2BEA">
            <w:pPr>
              <w:pStyle w:val="BodyText"/>
              <w:spacing w:before="0" w:after="0" w:line="240" w:lineRule="auto"/>
              <w:ind w:firstLine="0"/>
            </w:pPr>
          </w:p>
        </w:tc>
        <w:tc>
          <w:tcPr>
            <w:tcW w:w="619" w:type="pct"/>
          </w:tcPr>
          <w:p w14:paraId="74D363B5" w14:textId="3B46F917" w:rsidR="00DF2BEA" w:rsidRPr="00DF2BEA" w:rsidRDefault="00DF2BEA" w:rsidP="00DF2BEA">
            <w:pPr>
              <w:pStyle w:val="BodyText"/>
              <w:spacing w:before="0" w:after="0" w:line="240" w:lineRule="auto"/>
              <w:ind w:firstLine="0"/>
              <w:rPr>
                <w:i/>
                <w:iCs/>
              </w:rPr>
            </w:pPr>
            <w:r w:rsidRPr="00DF2BEA">
              <w:rPr>
                <w:i/>
                <w:iCs/>
              </w:rPr>
              <w:t>M</w:t>
            </w:r>
          </w:p>
        </w:tc>
        <w:tc>
          <w:tcPr>
            <w:tcW w:w="521" w:type="pct"/>
          </w:tcPr>
          <w:p w14:paraId="6CA5087E" w14:textId="145D5B40" w:rsidR="00DF2BEA" w:rsidRPr="00DF2BEA" w:rsidRDefault="00DF2BEA" w:rsidP="00DF2BEA">
            <w:pPr>
              <w:pStyle w:val="BodyText"/>
              <w:spacing w:before="0" w:after="0" w:line="240" w:lineRule="auto"/>
              <w:ind w:firstLine="0"/>
              <w:rPr>
                <w:i/>
                <w:iCs/>
              </w:rPr>
            </w:pPr>
            <w:r w:rsidRPr="00DF2BEA">
              <w:rPr>
                <w:i/>
                <w:iCs/>
              </w:rPr>
              <w:t>SD</w:t>
            </w:r>
          </w:p>
        </w:tc>
        <w:tc>
          <w:tcPr>
            <w:tcW w:w="619" w:type="pct"/>
          </w:tcPr>
          <w:p w14:paraId="1243BFCA" w14:textId="598D90B3" w:rsidR="00DF2BEA" w:rsidRDefault="00DF2BEA" w:rsidP="00DF2BEA">
            <w:pPr>
              <w:pStyle w:val="BodyText"/>
              <w:spacing w:before="0" w:after="0" w:line="240" w:lineRule="auto"/>
              <w:ind w:firstLine="0"/>
            </w:pPr>
            <w:r>
              <w:t>min</w:t>
            </w:r>
          </w:p>
        </w:tc>
        <w:tc>
          <w:tcPr>
            <w:tcW w:w="521" w:type="pct"/>
          </w:tcPr>
          <w:p w14:paraId="4C215F28" w14:textId="7C1988B9" w:rsidR="00DF2BEA" w:rsidRDefault="00DF2BEA" w:rsidP="00DF2BEA">
            <w:pPr>
              <w:pStyle w:val="BodyText"/>
              <w:spacing w:before="0" w:after="0" w:line="240" w:lineRule="auto"/>
              <w:ind w:firstLine="0"/>
            </w:pPr>
            <w:r>
              <w:t>max</w:t>
            </w:r>
          </w:p>
        </w:tc>
      </w:tr>
      <w:tr w:rsidR="00DF2BEA" w14:paraId="62FDBCF5" w14:textId="77777777" w:rsidTr="00DF2BEA">
        <w:tc>
          <w:tcPr>
            <w:tcW w:w="2720" w:type="pct"/>
          </w:tcPr>
          <w:p w14:paraId="06154BCD" w14:textId="28AD4F81" w:rsidR="00DF2BEA" w:rsidRDefault="00DF2BEA" w:rsidP="00DF2BEA">
            <w:pPr>
              <w:pStyle w:val="BodyText"/>
              <w:spacing w:before="0" w:after="0" w:line="240" w:lineRule="auto"/>
              <w:ind w:firstLine="0"/>
            </w:pPr>
            <w:r>
              <w:t>Visuospatial prediction variance</w:t>
            </w:r>
          </w:p>
        </w:tc>
        <w:tc>
          <w:tcPr>
            <w:tcW w:w="619" w:type="pct"/>
          </w:tcPr>
          <w:p w14:paraId="7A09AFD1" w14:textId="26A01EFF" w:rsidR="00DF2BEA" w:rsidRDefault="00DF2BEA" w:rsidP="00DF2BEA">
            <w:pPr>
              <w:pStyle w:val="BodyText"/>
              <w:spacing w:before="0" w:after="0" w:line="240" w:lineRule="auto"/>
              <w:ind w:firstLine="0"/>
            </w:pPr>
            <w:r>
              <w:t>–0.01</w:t>
            </w:r>
          </w:p>
        </w:tc>
        <w:tc>
          <w:tcPr>
            <w:tcW w:w="521" w:type="pct"/>
          </w:tcPr>
          <w:p w14:paraId="60AAD58B" w14:textId="0F9F58D1" w:rsidR="00DF2BEA" w:rsidRDefault="00DF2BEA" w:rsidP="00DF2BEA">
            <w:pPr>
              <w:pStyle w:val="BodyText"/>
              <w:spacing w:before="0" w:after="0" w:line="240" w:lineRule="auto"/>
              <w:ind w:firstLine="0"/>
            </w:pPr>
            <w:r>
              <w:t>0.19</w:t>
            </w:r>
          </w:p>
        </w:tc>
        <w:tc>
          <w:tcPr>
            <w:tcW w:w="619" w:type="pct"/>
          </w:tcPr>
          <w:p w14:paraId="14CF0FA3" w14:textId="082EF8DB" w:rsidR="00DF2BEA" w:rsidRDefault="00DF2BEA" w:rsidP="00DF2BEA">
            <w:pPr>
              <w:pStyle w:val="BodyText"/>
              <w:spacing w:before="0" w:after="0" w:line="240" w:lineRule="auto"/>
              <w:ind w:firstLine="0"/>
            </w:pPr>
            <w:r>
              <w:t>–0.45</w:t>
            </w:r>
          </w:p>
        </w:tc>
        <w:tc>
          <w:tcPr>
            <w:tcW w:w="521" w:type="pct"/>
          </w:tcPr>
          <w:p w14:paraId="6697A765" w14:textId="33A5CF15" w:rsidR="00DF2BEA" w:rsidRDefault="00DF2BEA" w:rsidP="00DF2BEA">
            <w:pPr>
              <w:pStyle w:val="BodyText"/>
              <w:spacing w:before="0" w:after="0" w:line="240" w:lineRule="auto"/>
              <w:ind w:firstLine="0"/>
            </w:pPr>
            <w:r>
              <w:t>0.21</w:t>
            </w:r>
          </w:p>
        </w:tc>
      </w:tr>
    </w:tbl>
    <w:p w14:paraId="575F099E" w14:textId="77777777" w:rsidR="00DF2BEA" w:rsidRDefault="00DF2BEA">
      <w:pPr>
        <w:pStyle w:val="BodyText"/>
      </w:pPr>
    </w:p>
    <w:p w14:paraId="64F3E4FA" w14:textId="36AF346D" w:rsidR="00360B74" w:rsidRDefault="007C3A68">
      <w:pPr>
        <w:pStyle w:val="BodyText"/>
      </w:pPr>
      <w:r>
        <w:t xml:space="preserve">Figure </w:t>
      </w:r>
      <w:r w:rsidR="00DF2BEA">
        <w:t>3</w:t>
      </w:r>
      <w:r>
        <w:t xml:space="preserve"> shows the time course of participants</w:t>
      </w:r>
      <w:r>
        <w:t xml:space="preserve">’ fixations on the targets during our time window. As observed, participants started to direct their gaze to the target above chance before hearing the suffix. That is, they were fixating on the target above chance at the onset of the last syllable in the </w:t>
      </w:r>
      <w:r>
        <w:t>verbs—the syllable containing the suffix to be predicted.</w:t>
      </w:r>
    </w:p>
    <w:p w14:paraId="7BA42A5A" w14:textId="77777777" w:rsidR="00360B74" w:rsidRDefault="007C3A68">
      <w:pPr>
        <w:pStyle w:val="CaptionedFigure"/>
      </w:pPr>
      <w:r>
        <w:rPr>
          <w:noProof/>
        </w:rPr>
        <w:lastRenderedPageBreak/>
        <w:drawing>
          <wp:inline distT="0" distB="0" distL="0" distR="0" wp14:anchorId="23F417C5" wp14:editId="664096E3">
            <wp:extent cx="5969000" cy="4642555"/>
            <wp:effectExtent l="0" t="0" r="0" b="0"/>
            <wp:docPr id="1" name="Picture" descr="Figure 1:.  5. Time course of fixations on the target verb."/>
            <wp:cNvGraphicFramePr/>
            <a:graphic xmlns:a="http://schemas.openxmlformats.org/drawingml/2006/main">
              <a:graphicData uri="http://schemas.openxmlformats.org/drawingml/2006/picture">
                <pic:pic xmlns:pic="http://schemas.openxmlformats.org/drawingml/2006/picture">
                  <pic:nvPicPr>
                    <pic:cNvPr id="0" name="Picture" descr="/Users/lfa/Desktop/Dissertation/figs/vision/gca/cont_speed_verb/timecourse_mon_zero0.png"/>
                    <pic:cNvPicPr>
                      <a:picLocks noChangeAspect="1" noChangeArrowheads="1"/>
                    </pic:cNvPicPr>
                  </pic:nvPicPr>
                  <pic:blipFill>
                    <a:blip r:embed="rId7"/>
                    <a:stretch>
                      <a:fillRect/>
                    </a:stretch>
                  </pic:blipFill>
                  <pic:spPr bwMode="auto">
                    <a:xfrm>
                      <a:off x="0" y="0"/>
                      <a:ext cx="5969000" cy="4642555"/>
                    </a:xfrm>
                    <a:prstGeom prst="rect">
                      <a:avLst/>
                    </a:prstGeom>
                    <a:noFill/>
                    <a:ln w="9525">
                      <a:noFill/>
                      <a:headEnd/>
                      <a:tailEnd/>
                    </a:ln>
                  </pic:spPr>
                </pic:pic>
              </a:graphicData>
            </a:graphic>
          </wp:inline>
        </w:drawing>
      </w:r>
    </w:p>
    <w:p w14:paraId="63F9AF3C" w14:textId="2F4C1A77" w:rsidR="00360B74" w:rsidRDefault="007C3A68">
      <w:pPr>
        <w:pStyle w:val="ImageCaption"/>
      </w:pPr>
      <w:r>
        <w:rPr>
          <w:i/>
        </w:rPr>
        <w:t>Figure</w:t>
      </w:r>
      <w:r>
        <w:t xml:space="preserve"> </w:t>
      </w:r>
      <w:r w:rsidR="00DF2BEA" w:rsidRPr="00DF2BEA">
        <w:rPr>
          <w:i/>
          <w:iCs/>
        </w:rPr>
        <w:t>3</w:t>
      </w:r>
      <w:r>
        <w:t>. Time course of fixations on the target verb.</w:t>
      </w:r>
    </w:p>
    <w:p w14:paraId="1AFE8A0E" w14:textId="4FD06645" w:rsidR="00360B74" w:rsidRDefault="007C3A68" w:rsidP="00DF2BEA">
      <w:pPr>
        <w:pStyle w:val="BodyText"/>
      </w:pPr>
      <w:r>
        <w:t>For the full model summary see Appendices 2 (fixed effects) and 3 (random effects). The log odds of participants fixating on the target at 200 ms after the objective onset of the last syllable in the verb estimated by the processing speeds model is γ</w:t>
      </w:r>
      <w:r>
        <w:rPr>
          <w:vertAlign w:val="subscript"/>
        </w:rPr>
        <w:t>00</w:t>
      </w:r>
      <w:r>
        <w:t> = 0</w:t>
      </w:r>
      <w:r>
        <w:t xml:space="preserve">.70; SE = 0.15; </w:t>
      </w:r>
      <w:r>
        <w:rPr>
          <w:i/>
        </w:rPr>
        <w:t>t</w:t>
      </w:r>
      <w:r>
        <w:t xml:space="preserve"> = 4.66; </w:t>
      </w:r>
      <w:r>
        <w:rPr>
          <w:i/>
        </w:rPr>
        <w:t>p</w:t>
      </w:r>
      <w:r>
        <w:t xml:space="preserve"> &lt; .001 (proportion = </w:t>
      </w:r>
      <w:r w:rsidR="00DF2BEA">
        <w:t>.67</w:t>
      </w:r>
      <w:r>
        <w:t>). The exact probabilities for each condition can be found in Table 2.</w:t>
      </w:r>
    </w:p>
    <w:tbl>
      <w:tblPr>
        <w:tblW w:w="7560" w:type="dxa"/>
        <w:jc w:val="center"/>
        <w:tblLayout w:type="fixed"/>
        <w:tblLook w:val="0420" w:firstRow="1" w:lastRow="0" w:firstColumn="0" w:lastColumn="0" w:noHBand="0" w:noVBand="1"/>
      </w:tblPr>
      <w:tblGrid>
        <w:gridCol w:w="1584"/>
        <w:gridCol w:w="1728"/>
        <w:gridCol w:w="1080"/>
        <w:gridCol w:w="1584"/>
        <w:gridCol w:w="1584"/>
      </w:tblGrid>
      <w:tr w:rsidR="00360B74" w14:paraId="02382711" w14:textId="77777777">
        <w:trPr>
          <w:cantSplit/>
          <w:tblHeader/>
          <w:jc w:val="center"/>
        </w:trPr>
        <w:tc>
          <w:tcPr>
            <w:tcW w:w="1584" w:type="dxa"/>
            <w:tcBorders>
              <w:top w:val="single" w:sz="12" w:space="0" w:color="000000"/>
              <w:bottom w:val="single" w:sz="6" w:space="0" w:color="000000"/>
            </w:tcBorders>
            <w:shd w:val="clear" w:color="auto" w:fill="FFFFFF"/>
            <w:tcMar>
              <w:top w:w="0" w:type="dxa"/>
              <w:left w:w="0" w:type="dxa"/>
              <w:bottom w:w="0" w:type="dxa"/>
              <w:right w:w="0" w:type="dxa"/>
            </w:tcMar>
            <w:vAlign w:val="center"/>
          </w:tcPr>
          <w:p w14:paraId="3202FFA6" w14:textId="77777777" w:rsidR="00360B74" w:rsidRDefault="007C3A68">
            <w:pPr>
              <w:spacing w:before="0" w:after="0" w:line="240" w:lineRule="auto"/>
            </w:pPr>
            <w:r>
              <w:rPr>
                <w:rFonts w:ascii="Times" w:eastAsia="Times" w:hAnsi="Times" w:cs="Times"/>
                <w:color w:val="111111"/>
                <w:sz w:val="22"/>
                <w:szCs w:val="22"/>
              </w:rPr>
              <w:t>L</w:t>
            </w:r>
            <w:r>
              <w:rPr>
                <w:rFonts w:ascii="Times" w:eastAsia="Times" w:hAnsi="Times" w:cs="Times"/>
                <w:color w:val="111111"/>
                <w:sz w:val="22"/>
                <w:szCs w:val="22"/>
              </w:rPr>
              <w:t>exical stress</w:t>
            </w:r>
          </w:p>
        </w:tc>
        <w:tc>
          <w:tcPr>
            <w:tcW w:w="1728" w:type="dxa"/>
            <w:tcBorders>
              <w:top w:val="single" w:sz="12" w:space="0" w:color="000000"/>
              <w:bottom w:val="single" w:sz="6" w:space="0" w:color="000000"/>
            </w:tcBorders>
            <w:shd w:val="clear" w:color="auto" w:fill="FFFFFF"/>
            <w:tcMar>
              <w:top w:w="0" w:type="dxa"/>
              <w:left w:w="0" w:type="dxa"/>
              <w:bottom w:w="0" w:type="dxa"/>
              <w:right w:w="0" w:type="dxa"/>
            </w:tcMar>
            <w:vAlign w:val="center"/>
          </w:tcPr>
          <w:p w14:paraId="38163E80" w14:textId="77777777" w:rsidR="00360B74" w:rsidRDefault="007C3A68">
            <w:pPr>
              <w:spacing w:before="0" w:after="0" w:line="240" w:lineRule="auto"/>
            </w:pPr>
            <w:r>
              <w:rPr>
                <w:rFonts w:ascii="Times" w:eastAsia="Times" w:hAnsi="Times" w:cs="Times"/>
                <w:color w:val="111111"/>
                <w:sz w:val="22"/>
                <w:szCs w:val="22"/>
              </w:rPr>
              <w:t>Visuospatial prediction timing</w:t>
            </w:r>
          </w:p>
        </w:tc>
        <w:tc>
          <w:tcPr>
            <w:tcW w:w="1080" w:type="dxa"/>
            <w:tcBorders>
              <w:top w:val="single" w:sz="12" w:space="0" w:color="000000"/>
              <w:bottom w:val="single" w:sz="6" w:space="0" w:color="000000"/>
            </w:tcBorders>
            <w:shd w:val="clear" w:color="auto" w:fill="FFFFFF"/>
            <w:tcMar>
              <w:top w:w="0" w:type="dxa"/>
              <w:left w:w="0" w:type="dxa"/>
              <w:bottom w:w="0" w:type="dxa"/>
              <w:right w:w="0" w:type="dxa"/>
            </w:tcMar>
            <w:vAlign w:val="center"/>
          </w:tcPr>
          <w:p w14:paraId="48687B02" w14:textId="77777777" w:rsidR="00360B74" w:rsidRDefault="007C3A68">
            <w:pPr>
              <w:spacing w:before="0" w:after="0" w:line="240" w:lineRule="auto"/>
              <w:jc w:val="right"/>
            </w:pPr>
            <w:r>
              <w:rPr>
                <w:rFonts w:ascii="Times" w:eastAsia="Times" w:hAnsi="Times" w:cs="Times"/>
                <w:color w:val="111111"/>
                <w:sz w:val="22"/>
                <w:szCs w:val="22"/>
              </w:rPr>
              <w:t>Probability</w:t>
            </w:r>
          </w:p>
        </w:tc>
        <w:tc>
          <w:tcPr>
            <w:tcW w:w="1584" w:type="dxa"/>
            <w:tcBorders>
              <w:top w:val="single" w:sz="12" w:space="0" w:color="000000"/>
              <w:bottom w:val="single" w:sz="6" w:space="0" w:color="000000"/>
            </w:tcBorders>
            <w:shd w:val="clear" w:color="auto" w:fill="FFFFFF"/>
            <w:tcMar>
              <w:top w:w="0" w:type="dxa"/>
              <w:left w:w="0" w:type="dxa"/>
              <w:bottom w:w="0" w:type="dxa"/>
              <w:right w:w="0" w:type="dxa"/>
            </w:tcMar>
            <w:vAlign w:val="center"/>
          </w:tcPr>
          <w:p w14:paraId="6B43D2A4" w14:textId="77777777" w:rsidR="00360B74" w:rsidRDefault="007C3A68">
            <w:pPr>
              <w:spacing w:before="0" w:after="0" w:line="240" w:lineRule="auto"/>
              <w:jc w:val="right"/>
            </w:pPr>
            <w:r>
              <w:rPr>
                <w:rFonts w:ascii="Times" w:eastAsia="Times" w:hAnsi="Times" w:cs="Times"/>
                <w:color w:val="111111"/>
                <w:sz w:val="22"/>
                <w:szCs w:val="22"/>
              </w:rPr>
              <w:t>Lower bound</w:t>
            </w:r>
          </w:p>
        </w:tc>
        <w:tc>
          <w:tcPr>
            <w:tcW w:w="1584" w:type="dxa"/>
            <w:tcBorders>
              <w:top w:val="single" w:sz="12" w:space="0" w:color="000000"/>
              <w:bottom w:val="single" w:sz="6" w:space="0" w:color="000000"/>
            </w:tcBorders>
            <w:shd w:val="clear" w:color="auto" w:fill="FFFFFF"/>
            <w:tcMar>
              <w:top w:w="0" w:type="dxa"/>
              <w:left w:w="0" w:type="dxa"/>
              <w:bottom w:w="0" w:type="dxa"/>
              <w:right w:w="0" w:type="dxa"/>
            </w:tcMar>
            <w:vAlign w:val="center"/>
          </w:tcPr>
          <w:p w14:paraId="23F4D265" w14:textId="77777777" w:rsidR="00360B74" w:rsidRDefault="007C3A68">
            <w:pPr>
              <w:spacing w:before="0" w:after="0" w:line="240" w:lineRule="auto"/>
              <w:jc w:val="right"/>
            </w:pPr>
            <w:r>
              <w:rPr>
                <w:rFonts w:ascii="Times" w:eastAsia="Times" w:hAnsi="Times" w:cs="Times"/>
                <w:color w:val="111111"/>
                <w:sz w:val="22"/>
                <w:szCs w:val="22"/>
              </w:rPr>
              <w:t>Upper bound</w:t>
            </w:r>
          </w:p>
        </w:tc>
      </w:tr>
      <w:tr w:rsidR="00360B74" w14:paraId="160AA2AB" w14:textId="77777777">
        <w:trPr>
          <w:cantSplit/>
          <w:jc w:val="center"/>
        </w:trPr>
        <w:tc>
          <w:tcPr>
            <w:tcW w:w="1584" w:type="dxa"/>
            <w:shd w:val="clear" w:color="auto" w:fill="FFFFFF"/>
            <w:tcMar>
              <w:top w:w="0" w:type="dxa"/>
              <w:left w:w="0" w:type="dxa"/>
              <w:bottom w:w="0" w:type="dxa"/>
              <w:right w:w="0" w:type="dxa"/>
            </w:tcMar>
            <w:vAlign w:val="center"/>
          </w:tcPr>
          <w:p w14:paraId="3F3F5765" w14:textId="77777777" w:rsidR="00360B74" w:rsidRDefault="007C3A68">
            <w:pPr>
              <w:spacing w:before="0" w:after="0" w:line="240" w:lineRule="auto"/>
            </w:pPr>
            <w:r>
              <w:rPr>
                <w:rFonts w:ascii="Times" w:eastAsia="Times" w:hAnsi="Times" w:cs="Times"/>
                <w:color w:val="111111"/>
                <w:sz w:val="22"/>
                <w:szCs w:val="22"/>
              </w:rPr>
              <w:t>paroxytone</w:t>
            </w:r>
          </w:p>
        </w:tc>
        <w:tc>
          <w:tcPr>
            <w:tcW w:w="1728" w:type="dxa"/>
            <w:shd w:val="clear" w:color="auto" w:fill="FFFFFF"/>
            <w:tcMar>
              <w:top w:w="0" w:type="dxa"/>
              <w:left w:w="0" w:type="dxa"/>
              <w:bottom w:w="0" w:type="dxa"/>
              <w:right w:w="0" w:type="dxa"/>
            </w:tcMar>
            <w:vAlign w:val="center"/>
          </w:tcPr>
          <w:p w14:paraId="7C089B93" w14:textId="77777777" w:rsidR="00360B74" w:rsidRDefault="007C3A68">
            <w:pPr>
              <w:spacing w:before="0" w:after="0" w:line="240" w:lineRule="auto"/>
              <w:jc w:val="right"/>
            </w:pPr>
            <w:r>
              <w:rPr>
                <w:rFonts w:ascii="Times" w:eastAsia="Times" w:hAnsi="Times" w:cs="Times"/>
                <w:color w:val="111111"/>
                <w:sz w:val="22"/>
                <w:szCs w:val="22"/>
              </w:rPr>
              <w:t>-1</w:t>
            </w:r>
          </w:p>
        </w:tc>
        <w:tc>
          <w:tcPr>
            <w:tcW w:w="1080" w:type="dxa"/>
            <w:shd w:val="clear" w:color="auto" w:fill="FFFFFF"/>
            <w:tcMar>
              <w:top w:w="0" w:type="dxa"/>
              <w:left w:w="0" w:type="dxa"/>
              <w:bottom w:w="0" w:type="dxa"/>
              <w:right w:w="0" w:type="dxa"/>
            </w:tcMar>
            <w:vAlign w:val="center"/>
          </w:tcPr>
          <w:p w14:paraId="71455E18" w14:textId="77777777" w:rsidR="00360B74" w:rsidRDefault="007C3A68">
            <w:pPr>
              <w:spacing w:before="0" w:after="0" w:line="240" w:lineRule="auto"/>
              <w:jc w:val="right"/>
            </w:pPr>
            <w:r>
              <w:rPr>
                <w:rFonts w:ascii="Times" w:eastAsia="Times" w:hAnsi="Times" w:cs="Times"/>
                <w:color w:val="111111"/>
                <w:sz w:val="22"/>
                <w:szCs w:val="22"/>
              </w:rPr>
              <w:t>0.65</w:t>
            </w:r>
          </w:p>
        </w:tc>
        <w:tc>
          <w:tcPr>
            <w:tcW w:w="1584" w:type="dxa"/>
            <w:shd w:val="clear" w:color="auto" w:fill="FFFFFF"/>
            <w:tcMar>
              <w:top w:w="0" w:type="dxa"/>
              <w:left w:w="0" w:type="dxa"/>
              <w:bottom w:w="0" w:type="dxa"/>
              <w:right w:w="0" w:type="dxa"/>
            </w:tcMar>
            <w:vAlign w:val="center"/>
          </w:tcPr>
          <w:p w14:paraId="0D37BD20" w14:textId="77777777" w:rsidR="00360B74" w:rsidRDefault="007C3A68">
            <w:pPr>
              <w:spacing w:before="0" w:after="0" w:line="240" w:lineRule="auto"/>
              <w:jc w:val="right"/>
            </w:pPr>
            <w:r>
              <w:rPr>
                <w:rFonts w:ascii="Times" w:eastAsia="Times" w:hAnsi="Times" w:cs="Times"/>
                <w:color w:val="111111"/>
                <w:sz w:val="22"/>
                <w:szCs w:val="22"/>
              </w:rPr>
              <w:t>0.49</w:t>
            </w:r>
          </w:p>
        </w:tc>
        <w:tc>
          <w:tcPr>
            <w:tcW w:w="1584" w:type="dxa"/>
            <w:shd w:val="clear" w:color="auto" w:fill="FFFFFF"/>
            <w:tcMar>
              <w:top w:w="0" w:type="dxa"/>
              <w:left w:w="0" w:type="dxa"/>
              <w:bottom w:w="0" w:type="dxa"/>
              <w:right w:w="0" w:type="dxa"/>
            </w:tcMar>
            <w:vAlign w:val="center"/>
          </w:tcPr>
          <w:p w14:paraId="2E5F3896" w14:textId="77777777" w:rsidR="00360B74" w:rsidRDefault="007C3A68">
            <w:pPr>
              <w:spacing w:before="0" w:after="0" w:line="240" w:lineRule="auto"/>
              <w:jc w:val="right"/>
            </w:pPr>
            <w:r>
              <w:rPr>
                <w:rFonts w:ascii="Times" w:eastAsia="Times" w:hAnsi="Times" w:cs="Times"/>
                <w:color w:val="111111"/>
                <w:sz w:val="22"/>
                <w:szCs w:val="22"/>
              </w:rPr>
              <w:t>0.78</w:t>
            </w:r>
          </w:p>
        </w:tc>
      </w:tr>
      <w:tr w:rsidR="00360B74" w14:paraId="3D9CD85D" w14:textId="77777777">
        <w:trPr>
          <w:cantSplit/>
          <w:jc w:val="center"/>
        </w:trPr>
        <w:tc>
          <w:tcPr>
            <w:tcW w:w="1584" w:type="dxa"/>
            <w:shd w:val="clear" w:color="auto" w:fill="FFFFFF"/>
            <w:tcMar>
              <w:top w:w="0" w:type="dxa"/>
              <w:left w:w="0" w:type="dxa"/>
              <w:bottom w:w="0" w:type="dxa"/>
              <w:right w:w="0" w:type="dxa"/>
            </w:tcMar>
            <w:vAlign w:val="center"/>
          </w:tcPr>
          <w:p w14:paraId="310F3B3C" w14:textId="77777777" w:rsidR="00360B74" w:rsidRDefault="00360B74">
            <w:pPr>
              <w:spacing w:before="0" w:after="0" w:line="240" w:lineRule="auto"/>
            </w:pPr>
          </w:p>
        </w:tc>
        <w:tc>
          <w:tcPr>
            <w:tcW w:w="1728" w:type="dxa"/>
            <w:shd w:val="clear" w:color="auto" w:fill="FFFFFF"/>
            <w:tcMar>
              <w:top w:w="0" w:type="dxa"/>
              <w:left w:w="0" w:type="dxa"/>
              <w:bottom w:w="0" w:type="dxa"/>
              <w:right w:w="0" w:type="dxa"/>
            </w:tcMar>
            <w:vAlign w:val="center"/>
          </w:tcPr>
          <w:p w14:paraId="306040B8" w14:textId="77777777" w:rsidR="00360B74" w:rsidRDefault="007C3A68">
            <w:pPr>
              <w:spacing w:before="0" w:after="0" w:line="240" w:lineRule="auto"/>
              <w:jc w:val="right"/>
            </w:pPr>
            <w:r>
              <w:rPr>
                <w:rFonts w:ascii="Times" w:eastAsia="Times" w:hAnsi="Times" w:cs="Times"/>
                <w:color w:val="111111"/>
                <w:sz w:val="22"/>
                <w:szCs w:val="22"/>
              </w:rPr>
              <w:t>0</w:t>
            </w:r>
          </w:p>
        </w:tc>
        <w:tc>
          <w:tcPr>
            <w:tcW w:w="1080" w:type="dxa"/>
            <w:shd w:val="clear" w:color="auto" w:fill="FFFFFF"/>
            <w:tcMar>
              <w:top w:w="0" w:type="dxa"/>
              <w:left w:w="0" w:type="dxa"/>
              <w:bottom w:w="0" w:type="dxa"/>
              <w:right w:w="0" w:type="dxa"/>
            </w:tcMar>
            <w:vAlign w:val="center"/>
          </w:tcPr>
          <w:p w14:paraId="779F971A" w14:textId="77777777" w:rsidR="00360B74" w:rsidRDefault="007C3A68">
            <w:pPr>
              <w:spacing w:before="0" w:after="0" w:line="240" w:lineRule="auto"/>
              <w:jc w:val="right"/>
            </w:pPr>
            <w:r>
              <w:rPr>
                <w:rFonts w:ascii="Times" w:eastAsia="Times" w:hAnsi="Times" w:cs="Times"/>
                <w:color w:val="111111"/>
                <w:sz w:val="22"/>
                <w:szCs w:val="22"/>
              </w:rPr>
              <w:t>0.89</w:t>
            </w:r>
          </w:p>
        </w:tc>
        <w:tc>
          <w:tcPr>
            <w:tcW w:w="1584" w:type="dxa"/>
            <w:shd w:val="clear" w:color="auto" w:fill="FFFFFF"/>
            <w:tcMar>
              <w:top w:w="0" w:type="dxa"/>
              <w:left w:w="0" w:type="dxa"/>
              <w:bottom w:w="0" w:type="dxa"/>
              <w:right w:w="0" w:type="dxa"/>
            </w:tcMar>
            <w:vAlign w:val="center"/>
          </w:tcPr>
          <w:p w14:paraId="4074AC7E" w14:textId="77777777" w:rsidR="00360B74" w:rsidRDefault="007C3A68">
            <w:pPr>
              <w:spacing w:before="0" w:after="0" w:line="240" w:lineRule="auto"/>
              <w:jc w:val="right"/>
            </w:pPr>
            <w:r>
              <w:rPr>
                <w:rFonts w:ascii="Times" w:eastAsia="Times" w:hAnsi="Times" w:cs="Times"/>
                <w:color w:val="111111"/>
                <w:sz w:val="22"/>
                <w:szCs w:val="22"/>
              </w:rPr>
              <w:t>0.87</w:t>
            </w:r>
          </w:p>
        </w:tc>
        <w:tc>
          <w:tcPr>
            <w:tcW w:w="1584" w:type="dxa"/>
            <w:shd w:val="clear" w:color="auto" w:fill="FFFFFF"/>
            <w:tcMar>
              <w:top w:w="0" w:type="dxa"/>
              <w:left w:w="0" w:type="dxa"/>
              <w:bottom w:w="0" w:type="dxa"/>
              <w:right w:w="0" w:type="dxa"/>
            </w:tcMar>
            <w:vAlign w:val="center"/>
          </w:tcPr>
          <w:p w14:paraId="570A34EA" w14:textId="77777777" w:rsidR="00360B74" w:rsidRDefault="007C3A68">
            <w:pPr>
              <w:spacing w:before="0" w:after="0" w:line="240" w:lineRule="auto"/>
              <w:jc w:val="right"/>
            </w:pPr>
            <w:r>
              <w:rPr>
                <w:rFonts w:ascii="Times" w:eastAsia="Times" w:hAnsi="Times" w:cs="Times"/>
                <w:color w:val="111111"/>
                <w:sz w:val="22"/>
                <w:szCs w:val="22"/>
              </w:rPr>
              <w:t>0.91</w:t>
            </w:r>
          </w:p>
        </w:tc>
      </w:tr>
      <w:tr w:rsidR="00360B74" w14:paraId="0A3BDF22" w14:textId="77777777">
        <w:trPr>
          <w:cantSplit/>
          <w:jc w:val="center"/>
        </w:trPr>
        <w:tc>
          <w:tcPr>
            <w:tcW w:w="1584" w:type="dxa"/>
            <w:shd w:val="clear" w:color="auto" w:fill="FFFFFF"/>
            <w:tcMar>
              <w:top w:w="0" w:type="dxa"/>
              <w:left w:w="0" w:type="dxa"/>
              <w:bottom w:w="0" w:type="dxa"/>
              <w:right w:w="0" w:type="dxa"/>
            </w:tcMar>
            <w:vAlign w:val="center"/>
          </w:tcPr>
          <w:p w14:paraId="45253C14" w14:textId="77777777" w:rsidR="00360B74" w:rsidRDefault="00360B74">
            <w:pPr>
              <w:spacing w:before="0" w:after="0" w:line="240" w:lineRule="auto"/>
            </w:pPr>
          </w:p>
        </w:tc>
        <w:tc>
          <w:tcPr>
            <w:tcW w:w="1728" w:type="dxa"/>
            <w:shd w:val="clear" w:color="auto" w:fill="FFFFFF"/>
            <w:tcMar>
              <w:top w:w="0" w:type="dxa"/>
              <w:left w:w="0" w:type="dxa"/>
              <w:bottom w:w="0" w:type="dxa"/>
              <w:right w:w="0" w:type="dxa"/>
            </w:tcMar>
            <w:vAlign w:val="center"/>
          </w:tcPr>
          <w:p w14:paraId="407EB25E" w14:textId="77777777" w:rsidR="00360B74" w:rsidRDefault="007C3A68">
            <w:pPr>
              <w:spacing w:before="0" w:after="0" w:line="240" w:lineRule="auto"/>
              <w:jc w:val="right"/>
            </w:pPr>
            <w:r>
              <w:rPr>
                <w:rFonts w:ascii="Times" w:eastAsia="Times" w:hAnsi="Times" w:cs="Times"/>
                <w:color w:val="111111"/>
                <w:sz w:val="22"/>
                <w:szCs w:val="22"/>
              </w:rPr>
              <w:t>1</w:t>
            </w:r>
          </w:p>
        </w:tc>
        <w:tc>
          <w:tcPr>
            <w:tcW w:w="1080" w:type="dxa"/>
            <w:shd w:val="clear" w:color="auto" w:fill="FFFFFF"/>
            <w:tcMar>
              <w:top w:w="0" w:type="dxa"/>
              <w:left w:w="0" w:type="dxa"/>
              <w:bottom w:w="0" w:type="dxa"/>
              <w:right w:w="0" w:type="dxa"/>
            </w:tcMar>
            <w:vAlign w:val="center"/>
          </w:tcPr>
          <w:p w14:paraId="578D9797" w14:textId="77777777" w:rsidR="00360B74" w:rsidRDefault="007C3A68">
            <w:pPr>
              <w:spacing w:before="0" w:after="0" w:line="240" w:lineRule="auto"/>
              <w:jc w:val="right"/>
            </w:pPr>
            <w:r>
              <w:rPr>
                <w:rFonts w:ascii="Times" w:eastAsia="Times" w:hAnsi="Times" w:cs="Times"/>
                <w:color w:val="111111"/>
                <w:sz w:val="22"/>
                <w:szCs w:val="22"/>
              </w:rPr>
              <w:t>0.97</w:t>
            </w:r>
          </w:p>
        </w:tc>
        <w:tc>
          <w:tcPr>
            <w:tcW w:w="1584" w:type="dxa"/>
            <w:shd w:val="clear" w:color="auto" w:fill="FFFFFF"/>
            <w:tcMar>
              <w:top w:w="0" w:type="dxa"/>
              <w:left w:w="0" w:type="dxa"/>
              <w:bottom w:w="0" w:type="dxa"/>
              <w:right w:w="0" w:type="dxa"/>
            </w:tcMar>
            <w:vAlign w:val="center"/>
          </w:tcPr>
          <w:p w14:paraId="6DFD54B8" w14:textId="77777777" w:rsidR="00360B74" w:rsidRDefault="007C3A68">
            <w:pPr>
              <w:spacing w:before="0" w:after="0" w:line="240" w:lineRule="auto"/>
              <w:jc w:val="right"/>
            </w:pPr>
            <w:r>
              <w:rPr>
                <w:rFonts w:ascii="Times" w:eastAsia="Times" w:hAnsi="Times" w:cs="Times"/>
                <w:color w:val="111111"/>
                <w:sz w:val="22"/>
                <w:szCs w:val="22"/>
              </w:rPr>
              <w:t>0.95</w:t>
            </w:r>
          </w:p>
        </w:tc>
        <w:tc>
          <w:tcPr>
            <w:tcW w:w="1584" w:type="dxa"/>
            <w:shd w:val="clear" w:color="auto" w:fill="FFFFFF"/>
            <w:tcMar>
              <w:top w:w="0" w:type="dxa"/>
              <w:left w:w="0" w:type="dxa"/>
              <w:bottom w:w="0" w:type="dxa"/>
              <w:right w:w="0" w:type="dxa"/>
            </w:tcMar>
            <w:vAlign w:val="center"/>
          </w:tcPr>
          <w:p w14:paraId="2AA80105" w14:textId="77777777" w:rsidR="00360B74" w:rsidRDefault="007C3A68">
            <w:pPr>
              <w:spacing w:before="0" w:after="0" w:line="240" w:lineRule="auto"/>
              <w:jc w:val="right"/>
            </w:pPr>
            <w:r>
              <w:rPr>
                <w:rFonts w:ascii="Times" w:eastAsia="Times" w:hAnsi="Times" w:cs="Times"/>
                <w:color w:val="111111"/>
                <w:sz w:val="22"/>
                <w:szCs w:val="22"/>
              </w:rPr>
              <w:t>0.99</w:t>
            </w:r>
          </w:p>
        </w:tc>
      </w:tr>
      <w:tr w:rsidR="00360B74" w14:paraId="71EB0527" w14:textId="77777777">
        <w:trPr>
          <w:cantSplit/>
          <w:jc w:val="center"/>
        </w:trPr>
        <w:tc>
          <w:tcPr>
            <w:tcW w:w="1584" w:type="dxa"/>
            <w:shd w:val="clear" w:color="auto" w:fill="FFFFFF"/>
            <w:tcMar>
              <w:top w:w="0" w:type="dxa"/>
              <w:left w:w="0" w:type="dxa"/>
              <w:bottom w:w="0" w:type="dxa"/>
              <w:right w:w="0" w:type="dxa"/>
            </w:tcMar>
            <w:vAlign w:val="center"/>
          </w:tcPr>
          <w:p w14:paraId="35EBC550" w14:textId="77777777" w:rsidR="00360B74" w:rsidRDefault="007C3A68">
            <w:pPr>
              <w:spacing w:before="0" w:after="0" w:line="240" w:lineRule="auto"/>
            </w:pPr>
            <w:r>
              <w:rPr>
                <w:rFonts w:ascii="Times" w:eastAsia="Times" w:hAnsi="Times" w:cs="Times"/>
                <w:color w:val="111111"/>
                <w:sz w:val="22"/>
                <w:szCs w:val="22"/>
              </w:rPr>
              <w:t>oxytone</w:t>
            </w:r>
          </w:p>
        </w:tc>
        <w:tc>
          <w:tcPr>
            <w:tcW w:w="1728" w:type="dxa"/>
            <w:shd w:val="clear" w:color="auto" w:fill="FFFFFF"/>
            <w:tcMar>
              <w:top w:w="0" w:type="dxa"/>
              <w:left w:w="0" w:type="dxa"/>
              <w:bottom w:w="0" w:type="dxa"/>
              <w:right w:w="0" w:type="dxa"/>
            </w:tcMar>
            <w:vAlign w:val="center"/>
          </w:tcPr>
          <w:p w14:paraId="30FD5D1D" w14:textId="77777777" w:rsidR="00360B74" w:rsidRDefault="007C3A68">
            <w:pPr>
              <w:spacing w:before="0" w:after="0" w:line="240" w:lineRule="auto"/>
              <w:jc w:val="right"/>
            </w:pPr>
            <w:r>
              <w:rPr>
                <w:rFonts w:ascii="Times" w:eastAsia="Times" w:hAnsi="Times" w:cs="Times"/>
                <w:color w:val="111111"/>
                <w:sz w:val="22"/>
                <w:szCs w:val="22"/>
              </w:rPr>
              <w:t>-1</w:t>
            </w:r>
          </w:p>
        </w:tc>
        <w:tc>
          <w:tcPr>
            <w:tcW w:w="1080" w:type="dxa"/>
            <w:shd w:val="clear" w:color="auto" w:fill="FFFFFF"/>
            <w:tcMar>
              <w:top w:w="0" w:type="dxa"/>
              <w:left w:w="0" w:type="dxa"/>
              <w:bottom w:w="0" w:type="dxa"/>
              <w:right w:w="0" w:type="dxa"/>
            </w:tcMar>
            <w:vAlign w:val="center"/>
          </w:tcPr>
          <w:p w14:paraId="02E9ED37" w14:textId="77777777" w:rsidR="00360B74" w:rsidRDefault="007C3A68">
            <w:pPr>
              <w:spacing w:before="0" w:after="0" w:line="240" w:lineRule="auto"/>
              <w:jc w:val="right"/>
            </w:pPr>
            <w:r>
              <w:rPr>
                <w:rFonts w:ascii="Times" w:eastAsia="Times" w:hAnsi="Times" w:cs="Times"/>
                <w:color w:val="111111"/>
                <w:sz w:val="22"/>
                <w:szCs w:val="22"/>
              </w:rPr>
              <w:t>0.65</w:t>
            </w:r>
          </w:p>
        </w:tc>
        <w:tc>
          <w:tcPr>
            <w:tcW w:w="1584" w:type="dxa"/>
            <w:shd w:val="clear" w:color="auto" w:fill="FFFFFF"/>
            <w:tcMar>
              <w:top w:w="0" w:type="dxa"/>
              <w:left w:w="0" w:type="dxa"/>
              <w:bottom w:w="0" w:type="dxa"/>
              <w:right w:w="0" w:type="dxa"/>
            </w:tcMar>
            <w:vAlign w:val="center"/>
          </w:tcPr>
          <w:p w14:paraId="633E1BFD" w14:textId="77777777" w:rsidR="00360B74" w:rsidRDefault="007C3A68">
            <w:pPr>
              <w:spacing w:before="0" w:after="0" w:line="240" w:lineRule="auto"/>
              <w:jc w:val="right"/>
            </w:pPr>
            <w:r>
              <w:rPr>
                <w:rFonts w:ascii="Times" w:eastAsia="Times" w:hAnsi="Times" w:cs="Times"/>
                <w:color w:val="111111"/>
                <w:sz w:val="22"/>
                <w:szCs w:val="22"/>
              </w:rPr>
              <w:t>0.49</w:t>
            </w:r>
          </w:p>
        </w:tc>
        <w:tc>
          <w:tcPr>
            <w:tcW w:w="1584" w:type="dxa"/>
            <w:shd w:val="clear" w:color="auto" w:fill="FFFFFF"/>
            <w:tcMar>
              <w:top w:w="0" w:type="dxa"/>
              <w:left w:w="0" w:type="dxa"/>
              <w:bottom w:w="0" w:type="dxa"/>
              <w:right w:w="0" w:type="dxa"/>
            </w:tcMar>
            <w:vAlign w:val="center"/>
          </w:tcPr>
          <w:p w14:paraId="60C49DEA" w14:textId="77777777" w:rsidR="00360B74" w:rsidRDefault="007C3A68">
            <w:pPr>
              <w:spacing w:before="0" w:after="0" w:line="240" w:lineRule="auto"/>
              <w:jc w:val="right"/>
            </w:pPr>
            <w:r>
              <w:rPr>
                <w:rFonts w:ascii="Times" w:eastAsia="Times" w:hAnsi="Times" w:cs="Times"/>
                <w:color w:val="111111"/>
                <w:sz w:val="22"/>
                <w:szCs w:val="22"/>
              </w:rPr>
              <w:t>0.78</w:t>
            </w:r>
          </w:p>
        </w:tc>
      </w:tr>
      <w:tr w:rsidR="00360B74" w14:paraId="63FC637C" w14:textId="77777777">
        <w:trPr>
          <w:cantSplit/>
          <w:jc w:val="center"/>
        </w:trPr>
        <w:tc>
          <w:tcPr>
            <w:tcW w:w="1584" w:type="dxa"/>
            <w:shd w:val="clear" w:color="auto" w:fill="FFFFFF"/>
            <w:tcMar>
              <w:top w:w="0" w:type="dxa"/>
              <w:left w:w="0" w:type="dxa"/>
              <w:bottom w:w="0" w:type="dxa"/>
              <w:right w:w="0" w:type="dxa"/>
            </w:tcMar>
            <w:vAlign w:val="center"/>
          </w:tcPr>
          <w:p w14:paraId="60319FA1" w14:textId="77777777" w:rsidR="00360B74" w:rsidRDefault="00360B74">
            <w:pPr>
              <w:spacing w:before="0" w:after="0" w:line="240" w:lineRule="auto"/>
            </w:pPr>
          </w:p>
        </w:tc>
        <w:tc>
          <w:tcPr>
            <w:tcW w:w="1728" w:type="dxa"/>
            <w:shd w:val="clear" w:color="auto" w:fill="FFFFFF"/>
            <w:tcMar>
              <w:top w:w="0" w:type="dxa"/>
              <w:left w:w="0" w:type="dxa"/>
              <w:bottom w:w="0" w:type="dxa"/>
              <w:right w:w="0" w:type="dxa"/>
            </w:tcMar>
            <w:vAlign w:val="center"/>
          </w:tcPr>
          <w:p w14:paraId="6AC5C412" w14:textId="77777777" w:rsidR="00360B74" w:rsidRDefault="007C3A68">
            <w:pPr>
              <w:spacing w:before="0" w:after="0" w:line="240" w:lineRule="auto"/>
              <w:jc w:val="right"/>
            </w:pPr>
            <w:r>
              <w:rPr>
                <w:rFonts w:ascii="Times" w:eastAsia="Times" w:hAnsi="Times" w:cs="Times"/>
                <w:color w:val="111111"/>
                <w:sz w:val="22"/>
                <w:szCs w:val="22"/>
              </w:rPr>
              <w:t>0</w:t>
            </w:r>
          </w:p>
        </w:tc>
        <w:tc>
          <w:tcPr>
            <w:tcW w:w="1080" w:type="dxa"/>
            <w:shd w:val="clear" w:color="auto" w:fill="FFFFFF"/>
            <w:tcMar>
              <w:top w:w="0" w:type="dxa"/>
              <w:left w:w="0" w:type="dxa"/>
              <w:bottom w:w="0" w:type="dxa"/>
              <w:right w:w="0" w:type="dxa"/>
            </w:tcMar>
            <w:vAlign w:val="center"/>
          </w:tcPr>
          <w:p w14:paraId="3FFFC58C" w14:textId="77777777" w:rsidR="00360B74" w:rsidRDefault="007C3A68">
            <w:pPr>
              <w:spacing w:before="0" w:after="0" w:line="240" w:lineRule="auto"/>
              <w:jc w:val="right"/>
            </w:pPr>
            <w:r>
              <w:rPr>
                <w:rFonts w:ascii="Times" w:eastAsia="Times" w:hAnsi="Times" w:cs="Times"/>
                <w:color w:val="111111"/>
                <w:sz w:val="22"/>
                <w:szCs w:val="22"/>
              </w:rPr>
              <w:t>0.89</w:t>
            </w:r>
          </w:p>
        </w:tc>
        <w:tc>
          <w:tcPr>
            <w:tcW w:w="1584" w:type="dxa"/>
            <w:shd w:val="clear" w:color="auto" w:fill="FFFFFF"/>
            <w:tcMar>
              <w:top w:w="0" w:type="dxa"/>
              <w:left w:w="0" w:type="dxa"/>
              <w:bottom w:w="0" w:type="dxa"/>
              <w:right w:w="0" w:type="dxa"/>
            </w:tcMar>
            <w:vAlign w:val="center"/>
          </w:tcPr>
          <w:p w14:paraId="524A71FC" w14:textId="77777777" w:rsidR="00360B74" w:rsidRDefault="007C3A68">
            <w:pPr>
              <w:spacing w:before="0" w:after="0" w:line="240" w:lineRule="auto"/>
              <w:jc w:val="right"/>
            </w:pPr>
            <w:r>
              <w:rPr>
                <w:rFonts w:ascii="Times" w:eastAsia="Times" w:hAnsi="Times" w:cs="Times"/>
                <w:color w:val="111111"/>
                <w:sz w:val="22"/>
                <w:szCs w:val="22"/>
              </w:rPr>
              <w:t>0.87</w:t>
            </w:r>
          </w:p>
        </w:tc>
        <w:tc>
          <w:tcPr>
            <w:tcW w:w="1584" w:type="dxa"/>
            <w:shd w:val="clear" w:color="auto" w:fill="FFFFFF"/>
            <w:tcMar>
              <w:top w:w="0" w:type="dxa"/>
              <w:left w:w="0" w:type="dxa"/>
              <w:bottom w:w="0" w:type="dxa"/>
              <w:right w:w="0" w:type="dxa"/>
            </w:tcMar>
            <w:vAlign w:val="center"/>
          </w:tcPr>
          <w:p w14:paraId="0D03C07E" w14:textId="77777777" w:rsidR="00360B74" w:rsidRDefault="007C3A68">
            <w:pPr>
              <w:spacing w:before="0" w:after="0" w:line="240" w:lineRule="auto"/>
              <w:jc w:val="right"/>
            </w:pPr>
            <w:r>
              <w:rPr>
                <w:rFonts w:ascii="Times" w:eastAsia="Times" w:hAnsi="Times" w:cs="Times"/>
                <w:color w:val="111111"/>
                <w:sz w:val="22"/>
                <w:szCs w:val="22"/>
              </w:rPr>
              <w:t>0.91</w:t>
            </w:r>
          </w:p>
        </w:tc>
      </w:tr>
      <w:tr w:rsidR="00360B74" w14:paraId="1861F8D8" w14:textId="77777777">
        <w:trPr>
          <w:cantSplit/>
          <w:jc w:val="center"/>
        </w:trPr>
        <w:tc>
          <w:tcPr>
            <w:tcW w:w="1584" w:type="dxa"/>
            <w:tcBorders>
              <w:bottom w:val="single" w:sz="12" w:space="0" w:color="000000"/>
            </w:tcBorders>
            <w:shd w:val="clear" w:color="auto" w:fill="FFFFFF"/>
            <w:tcMar>
              <w:top w:w="0" w:type="dxa"/>
              <w:left w:w="0" w:type="dxa"/>
              <w:bottom w:w="0" w:type="dxa"/>
              <w:right w:w="0" w:type="dxa"/>
            </w:tcMar>
            <w:vAlign w:val="center"/>
          </w:tcPr>
          <w:p w14:paraId="64817159" w14:textId="77777777" w:rsidR="00360B74" w:rsidRDefault="00360B74">
            <w:pPr>
              <w:spacing w:before="0" w:after="0" w:line="240" w:lineRule="auto"/>
            </w:pPr>
          </w:p>
        </w:tc>
        <w:tc>
          <w:tcPr>
            <w:tcW w:w="1728" w:type="dxa"/>
            <w:tcBorders>
              <w:bottom w:val="single" w:sz="12" w:space="0" w:color="000000"/>
            </w:tcBorders>
            <w:shd w:val="clear" w:color="auto" w:fill="FFFFFF"/>
            <w:tcMar>
              <w:top w:w="0" w:type="dxa"/>
              <w:left w:w="0" w:type="dxa"/>
              <w:bottom w:w="0" w:type="dxa"/>
              <w:right w:w="0" w:type="dxa"/>
            </w:tcMar>
            <w:vAlign w:val="center"/>
          </w:tcPr>
          <w:p w14:paraId="54E65359" w14:textId="77777777" w:rsidR="00360B74" w:rsidRDefault="007C3A68">
            <w:pPr>
              <w:spacing w:before="0" w:after="0" w:line="240" w:lineRule="auto"/>
              <w:jc w:val="right"/>
            </w:pPr>
            <w:r>
              <w:rPr>
                <w:rFonts w:ascii="Times" w:eastAsia="Times" w:hAnsi="Times" w:cs="Times"/>
                <w:color w:val="111111"/>
                <w:sz w:val="22"/>
                <w:szCs w:val="22"/>
              </w:rPr>
              <w:t>1</w:t>
            </w:r>
          </w:p>
        </w:tc>
        <w:tc>
          <w:tcPr>
            <w:tcW w:w="1080" w:type="dxa"/>
            <w:tcBorders>
              <w:bottom w:val="single" w:sz="12" w:space="0" w:color="000000"/>
            </w:tcBorders>
            <w:shd w:val="clear" w:color="auto" w:fill="FFFFFF"/>
            <w:tcMar>
              <w:top w:w="0" w:type="dxa"/>
              <w:left w:w="0" w:type="dxa"/>
              <w:bottom w:w="0" w:type="dxa"/>
              <w:right w:w="0" w:type="dxa"/>
            </w:tcMar>
            <w:vAlign w:val="center"/>
          </w:tcPr>
          <w:p w14:paraId="23186C61" w14:textId="77777777" w:rsidR="00360B74" w:rsidRDefault="007C3A68">
            <w:pPr>
              <w:spacing w:before="0" w:after="0" w:line="240" w:lineRule="auto"/>
              <w:jc w:val="right"/>
            </w:pPr>
            <w:r>
              <w:rPr>
                <w:rFonts w:ascii="Times" w:eastAsia="Times" w:hAnsi="Times" w:cs="Times"/>
                <w:color w:val="111111"/>
                <w:sz w:val="22"/>
                <w:szCs w:val="22"/>
              </w:rPr>
              <w:t>0.97</w:t>
            </w:r>
          </w:p>
        </w:tc>
        <w:tc>
          <w:tcPr>
            <w:tcW w:w="1584" w:type="dxa"/>
            <w:tcBorders>
              <w:bottom w:val="single" w:sz="12" w:space="0" w:color="000000"/>
            </w:tcBorders>
            <w:shd w:val="clear" w:color="auto" w:fill="FFFFFF"/>
            <w:tcMar>
              <w:top w:w="0" w:type="dxa"/>
              <w:left w:w="0" w:type="dxa"/>
              <w:bottom w:w="0" w:type="dxa"/>
              <w:right w:w="0" w:type="dxa"/>
            </w:tcMar>
            <w:vAlign w:val="center"/>
          </w:tcPr>
          <w:p w14:paraId="7B02800E" w14:textId="77777777" w:rsidR="00360B74" w:rsidRDefault="007C3A68">
            <w:pPr>
              <w:spacing w:before="0" w:after="0" w:line="240" w:lineRule="auto"/>
              <w:jc w:val="right"/>
            </w:pPr>
            <w:r>
              <w:rPr>
                <w:rFonts w:ascii="Times" w:eastAsia="Times" w:hAnsi="Times" w:cs="Times"/>
                <w:color w:val="111111"/>
                <w:sz w:val="22"/>
                <w:szCs w:val="22"/>
              </w:rPr>
              <w:t>0.95</w:t>
            </w:r>
          </w:p>
        </w:tc>
        <w:tc>
          <w:tcPr>
            <w:tcW w:w="1584" w:type="dxa"/>
            <w:tcBorders>
              <w:bottom w:val="single" w:sz="12" w:space="0" w:color="000000"/>
            </w:tcBorders>
            <w:shd w:val="clear" w:color="auto" w:fill="FFFFFF"/>
            <w:tcMar>
              <w:top w:w="0" w:type="dxa"/>
              <w:left w:w="0" w:type="dxa"/>
              <w:bottom w:w="0" w:type="dxa"/>
              <w:right w:w="0" w:type="dxa"/>
            </w:tcMar>
            <w:vAlign w:val="center"/>
          </w:tcPr>
          <w:p w14:paraId="29F7897B" w14:textId="77777777" w:rsidR="00360B74" w:rsidRDefault="007C3A68">
            <w:pPr>
              <w:spacing w:before="0" w:after="0" w:line="240" w:lineRule="auto"/>
              <w:jc w:val="right"/>
            </w:pPr>
            <w:r>
              <w:rPr>
                <w:rFonts w:ascii="Times" w:eastAsia="Times" w:hAnsi="Times" w:cs="Times"/>
                <w:color w:val="111111"/>
                <w:sz w:val="22"/>
                <w:szCs w:val="22"/>
              </w:rPr>
              <w:t>0.99</w:t>
            </w:r>
          </w:p>
        </w:tc>
      </w:tr>
    </w:tbl>
    <w:p w14:paraId="0194430D" w14:textId="77777777" w:rsidR="00360B74" w:rsidRDefault="007C3A68">
      <w:pPr>
        <w:pStyle w:val="BodyText"/>
      </w:pPr>
      <w:r>
        <w:rPr>
          <w:i/>
        </w:rPr>
        <w:lastRenderedPageBreak/>
        <w:t>Table 2.</w:t>
      </w:r>
      <w:r>
        <w:t xml:space="preserve"> Model estimates for probability of target fixations ±SE </w:t>
      </w:r>
      <w:r>
        <w:t>at 200 ms after the last syllable offset. Visuospatial processing values are given for our sample’s mean difference between key presses and reappearance millisecond (0), one standard deviation later (1) and one standard deviation before (-1).</w:t>
      </w:r>
    </w:p>
    <w:p w14:paraId="2FDCEF43" w14:textId="7EEB93C1" w:rsidR="00360B74" w:rsidRDefault="007C3A68">
      <w:pPr>
        <w:pStyle w:val="BodyText"/>
      </w:pPr>
      <w:r>
        <w:t>We kept the l</w:t>
      </w:r>
      <w:r>
        <w:t>inear (γ</w:t>
      </w:r>
      <w:r>
        <w:rPr>
          <w:vertAlign w:val="subscript"/>
        </w:rPr>
        <w:t>10</w:t>
      </w:r>
      <w:r>
        <w:t xml:space="preserve"> = 2.26; SE = 0.17; </w:t>
      </w:r>
      <w:r>
        <w:rPr>
          <w:i/>
        </w:rPr>
        <w:t>t</w:t>
      </w:r>
      <w:r>
        <w:t xml:space="preserve"> = 12.93; </w:t>
      </w:r>
      <w:r>
        <w:rPr>
          <w:i/>
        </w:rPr>
        <w:t>p</w:t>
      </w:r>
      <w:r>
        <w:t> &lt; .001) and quadratic (γ</w:t>
      </w:r>
      <w:r>
        <w:rPr>
          <w:vertAlign w:val="subscript"/>
        </w:rPr>
        <w:t>20</w:t>
      </w:r>
      <w:r>
        <w:t xml:space="preserve"> = 0.44; SE = 0.17; </w:t>
      </w:r>
      <w:r>
        <w:rPr>
          <w:i/>
        </w:rPr>
        <w:t>t</w:t>
      </w:r>
      <w:r>
        <w:t xml:space="preserve"> = 2.60; </w:t>
      </w:r>
      <w:r>
        <w:rPr>
          <w:i/>
        </w:rPr>
        <w:t>p</w:t>
      </w:r>
      <w:r>
        <w:t xml:space="preserve"> = .009) polynomial time terms a they improved the fit. </w:t>
      </w:r>
      <w:r>
        <w:t>There was a main effect of visuospatial prediction on the linear term ( chi</w:t>
      </w:r>
      <w:r>
        <w:rPr>
          <w:vertAlign w:val="superscript"/>
        </w:rPr>
        <w:t>2</w:t>
      </w:r>
      <w:r>
        <w:t xml:space="preserve">; (1) = 4.57, </w:t>
      </w:r>
      <w:r>
        <w:rPr>
          <w:i/>
        </w:rPr>
        <w:t>p</w:t>
      </w:r>
      <w:r>
        <w:t xml:space="preserve"> = 0.033), indicating that the curve for those participants who tracked the trajectory more closely and pressed the button within the time window between when the ca</w:t>
      </w:r>
      <w:r>
        <w:t xml:space="preserve">r should have reappeared and when the press would have become a reaction pressed was steeper (see Figure </w:t>
      </w:r>
      <w:r w:rsidR="00DF2BEA">
        <w:t>3</w:t>
      </w:r>
      <w:r>
        <w:t>), indicating they were increasing fixations on the target at a higher rate, therefore predicting language faster (γ</w:t>
      </w:r>
      <w:r>
        <w:rPr>
          <w:vertAlign w:val="subscript"/>
        </w:rPr>
        <w:t>11</w:t>
      </w:r>
      <w:r>
        <w:t xml:space="preserve"> = 1.85; SE = 0.87; </w:t>
      </w:r>
      <w:r>
        <w:rPr>
          <w:i/>
        </w:rPr>
        <w:t>t</w:t>
      </w:r>
      <w:r>
        <w:t xml:space="preserve"> = 2.14; </w:t>
      </w:r>
      <w:r>
        <w:rPr>
          <w:i/>
        </w:rPr>
        <w:t>p</w:t>
      </w:r>
      <w:r>
        <w:t> </w:t>
      </w:r>
      <w:r>
        <w:t>= .032)</w:t>
      </w:r>
    </w:p>
    <w:tbl>
      <w:tblPr>
        <w:tblStyle w:val="Table"/>
        <w:tblW w:w="0" w:type="pct"/>
        <w:tblLook w:val="0020" w:firstRow="1" w:lastRow="0" w:firstColumn="0" w:lastColumn="0" w:noHBand="0" w:noVBand="0"/>
      </w:tblPr>
      <w:tblGrid>
        <w:gridCol w:w="2304"/>
        <w:gridCol w:w="1056"/>
        <w:gridCol w:w="756"/>
        <w:gridCol w:w="876"/>
        <w:gridCol w:w="832"/>
      </w:tblGrid>
      <w:tr w:rsidR="00360B74" w14:paraId="63A3E0BD" w14:textId="77777777" w:rsidTr="00360B7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49D3B741" w14:textId="77777777" w:rsidR="00360B74" w:rsidRDefault="007C3A68">
            <w:pPr>
              <w:pStyle w:val="Compact"/>
            </w:pPr>
            <w:r>
              <w:t>Parameter</w:t>
            </w:r>
          </w:p>
        </w:tc>
        <w:tc>
          <w:tcPr>
            <w:tcW w:w="0" w:type="auto"/>
            <w:tcBorders>
              <w:bottom w:val="single" w:sz="0" w:space="0" w:color="auto"/>
            </w:tcBorders>
            <w:vAlign w:val="bottom"/>
          </w:tcPr>
          <w:p w14:paraId="5A2A1CC1" w14:textId="77777777" w:rsidR="00360B74" w:rsidRDefault="007C3A68">
            <w:pPr>
              <w:pStyle w:val="Compact"/>
              <w:jc w:val="right"/>
            </w:pPr>
            <w:r>
              <w:t>Estimate</w:t>
            </w:r>
          </w:p>
        </w:tc>
        <w:tc>
          <w:tcPr>
            <w:tcW w:w="0" w:type="auto"/>
            <w:tcBorders>
              <w:bottom w:val="single" w:sz="0" w:space="0" w:color="auto"/>
            </w:tcBorders>
            <w:vAlign w:val="bottom"/>
          </w:tcPr>
          <w:p w14:paraId="1C9DFC12" w14:textId="77777777" w:rsidR="00360B74" w:rsidRDefault="007C3A68">
            <w:pPr>
              <w:pStyle w:val="Compact"/>
              <w:jc w:val="right"/>
            </w:pPr>
            <w:r>
              <w:t>SE</w:t>
            </w:r>
          </w:p>
        </w:tc>
        <w:tc>
          <w:tcPr>
            <w:tcW w:w="0" w:type="auto"/>
            <w:tcBorders>
              <w:bottom w:val="single" w:sz="0" w:space="0" w:color="auto"/>
            </w:tcBorders>
            <w:vAlign w:val="bottom"/>
          </w:tcPr>
          <w:p w14:paraId="73DBFDDA" w14:textId="77777777" w:rsidR="00360B74" w:rsidRDefault="007C3A68">
            <w:pPr>
              <w:pStyle w:val="Compact"/>
              <w:jc w:val="right"/>
            </w:pPr>
            <w:r>
              <w:rPr>
                <w:i/>
              </w:rPr>
              <w:t>t</w:t>
            </w:r>
          </w:p>
        </w:tc>
        <w:tc>
          <w:tcPr>
            <w:tcW w:w="0" w:type="auto"/>
            <w:tcBorders>
              <w:bottom w:val="single" w:sz="0" w:space="0" w:color="auto"/>
            </w:tcBorders>
            <w:vAlign w:val="bottom"/>
          </w:tcPr>
          <w:p w14:paraId="59A680B1" w14:textId="77777777" w:rsidR="00360B74" w:rsidRDefault="007C3A68">
            <w:pPr>
              <w:pStyle w:val="Compact"/>
              <w:jc w:val="right"/>
            </w:pPr>
            <w:r>
              <w:rPr>
                <w:i/>
              </w:rPr>
              <w:t>p</w:t>
            </w:r>
          </w:p>
        </w:tc>
      </w:tr>
      <w:tr w:rsidR="00360B74" w14:paraId="084B2D00" w14:textId="77777777">
        <w:tc>
          <w:tcPr>
            <w:tcW w:w="0" w:type="auto"/>
          </w:tcPr>
          <w:p w14:paraId="20F195B8" w14:textId="77777777" w:rsidR="00360B74" w:rsidRDefault="007C3A68">
            <w:pPr>
              <w:pStyle w:val="Compact"/>
            </w:pPr>
            <w:r>
              <w:t>Intercept (γ</w:t>
            </w:r>
            <w:r>
              <w:rPr>
                <w:vertAlign w:val="subscript"/>
              </w:rPr>
              <w:t>00</w:t>
            </w:r>
            <w:r>
              <w:t>)</w:t>
            </w:r>
          </w:p>
        </w:tc>
        <w:tc>
          <w:tcPr>
            <w:tcW w:w="0" w:type="auto"/>
          </w:tcPr>
          <w:p w14:paraId="6F096C43" w14:textId="77777777" w:rsidR="00360B74" w:rsidRDefault="007C3A68">
            <w:pPr>
              <w:pStyle w:val="Compact"/>
              <w:jc w:val="right"/>
            </w:pPr>
            <w:r>
              <w:t>0.703</w:t>
            </w:r>
          </w:p>
        </w:tc>
        <w:tc>
          <w:tcPr>
            <w:tcW w:w="0" w:type="auto"/>
          </w:tcPr>
          <w:p w14:paraId="578B3DED" w14:textId="77777777" w:rsidR="00360B74" w:rsidRDefault="007C3A68">
            <w:pPr>
              <w:pStyle w:val="Compact"/>
              <w:jc w:val="right"/>
            </w:pPr>
            <w:r>
              <w:t>0.151</w:t>
            </w:r>
          </w:p>
        </w:tc>
        <w:tc>
          <w:tcPr>
            <w:tcW w:w="0" w:type="auto"/>
          </w:tcPr>
          <w:p w14:paraId="13D3830B" w14:textId="77777777" w:rsidR="00360B74" w:rsidRDefault="007C3A68">
            <w:pPr>
              <w:pStyle w:val="Compact"/>
              <w:jc w:val="right"/>
            </w:pPr>
            <w:r>
              <w:t>4.659</w:t>
            </w:r>
          </w:p>
        </w:tc>
        <w:tc>
          <w:tcPr>
            <w:tcW w:w="0" w:type="auto"/>
          </w:tcPr>
          <w:p w14:paraId="3456FD96" w14:textId="77777777" w:rsidR="00360B74" w:rsidRDefault="007C3A68">
            <w:pPr>
              <w:pStyle w:val="Compact"/>
              <w:jc w:val="right"/>
            </w:pPr>
            <w:r>
              <w:t>&lt; .001</w:t>
            </w:r>
          </w:p>
        </w:tc>
      </w:tr>
      <w:tr w:rsidR="00360B74" w14:paraId="667E7F56" w14:textId="77777777">
        <w:tc>
          <w:tcPr>
            <w:tcW w:w="0" w:type="auto"/>
          </w:tcPr>
          <w:p w14:paraId="470A13BE" w14:textId="77777777" w:rsidR="00360B74" w:rsidRDefault="007C3A68">
            <w:pPr>
              <w:pStyle w:val="Compact"/>
            </w:pPr>
            <w:r>
              <w:t>Time</w:t>
            </w:r>
            <w:r>
              <w:rPr>
                <w:vertAlign w:val="superscript"/>
              </w:rPr>
              <w:t>1</w:t>
            </w:r>
            <w:r>
              <w:t xml:space="preserve"> (γ</w:t>
            </w:r>
            <w:r>
              <w:rPr>
                <w:vertAlign w:val="subscript"/>
              </w:rPr>
              <w:t>10</w:t>
            </w:r>
            <w:r>
              <w:t>)</w:t>
            </w:r>
          </w:p>
        </w:tc>
        <w:tc>
          <w:tcPr>
            <w:tcW w:w="0" w:type="auto"/>
          </w:tcPr>
          <w:p w14:paraId="68A44972" w14:textId="77777777" w:rsidR="00360B74" w:rsidRDefault="007C3A68">
            <w:pPr>
              <w:pStyle w:val="Compact"/>
              <w:jc w:val="right"/>
            </w:pPr>
            <w:r>
              <w:t>2.256</w:t>
            </w:r>
          </w:p>
        </w:tc>
        <w:tc>
          <w:tcPr>
            <w:tcW w:w="0" w:type="auto"/>
          </w:tcPr>
          <w:p w14:paraId="01A28A10" w14:textId="77777777" w:rsidR="00360B74" w:rsidRDefault="007C3A68">
            <w:pPr>
              <w:pStyle w:val="Compact"/>
              <w:jc w:val="right"/>
            </w:pPr>
            <w:r>
              <w:t>0.174</w:t>
            </w:r>
          </w:p>
        </w:tc>
        <w:tc>
          <w:tcPr>
            <w:tcW w:w="0" w:type="auto"/>
          </w:tcPr>
          <w:p w14:paraId="53972DA7" w14:textId="77777777" w:rsidR="00360B74" w:rsidRDefault="007C3A68">
            <w:pPr>
              <w:pStyle w:val="Compact"/>
              <w:jc w:val="right"/>
            </w:pPr>
            <w:r>
              <w:t>12.935</w:t>
            </w:r>
          </w:p>
        </w:tc>
        <w:tc>
          <w:tcPr>
            <w:tcW w:w="0" w:type="auto"/>
          </w:tcPr>
          <w:p w14:paraId="69BF2F17" w14:textId="77777777" w:rsidR="00360B74" w:rsidRDefault="007C3A68">
            <w:pPr>
              <w:pStyle w:val="Compact"/>
              <w:jc w:val="right"/>
            </w:pPr>
            <w:r>
              <w:t>&lt; .001</w:t>
            </w:r>
          </w:p>
        </w:tc>
      </w:tr>
      <w:tr w:rsidR="00360B74" w14:paraId="6A42F677" w14:textId="77777777">
        <w:tc>
          <w:tcPr>
            <w:tcW w:w="0" w:type="auto"/>
          </w:tcPr>
          <w:p w14:paraId="1DE7FB5C" w14:textId="77777777" w:rsidR="00360B74" w:rsidRDefault="007C3A68">
            <w:pPr>
              <w:pStyle w:val="Compact"/>
            </w:pPr>
            <w:r>
              <w:t>Time</w:t>
            </w:r>
            <w:r>
              <w:rPr>
                <w:vertAlign w:val="superscript"/>
              </w:rPr>
              <w:t>2</w:t>
            </w:r>
            <w:r>
              <w:t xml:space="preserve"> (γ</w:t>
            </w:r>
            <w:r>
              <w:rPr>
                <w:vertAlign w:val="subscript"/>
              </w:rPr>
              <w:t>20</w:t>
            </w:r>
            <w:r>
              <w:t>)</w:t>
            </w:r>
          </w:p>
        </w:tc>
        <w:tc>
          <w:tcPr>
            <w:tcW w:w="0" w:type="auto"/>
          </w:tcPr>
          <w:p w14:paraId="67A2A839" w14:textId="77777777" w:rsidR="00360B74" w:rsidRDefault="007C3A68">
            <w:pPr>
              <w:pStyle w:val="Compact"/>
              <w:jc w:val="right"/>
            </w:pPr>
            <w:r>
              <w:t>0.440</w:t>
            </w:r>
          </w:p>
        </w:tc>
        <w:tc>
          <w:tcPr>
            <w:tcW w:w="0" w:type="auto"/>
          </w:tcPr>
          <w:p w14:paraId="661C8E90" w14:textId="77777777" w:rsidR="00360B74" w:rsidRDefault="007C3A68">
            <w:pPr>
              <w:pStyle w:val="Compact"/>
              <w:jc w:val="right"/>
            </w:pPr>
            <w:r>
              <w:t>0.169</w:t>
            </w:r>
          </w:p>
        </w:tc>
        <w:tc>
          <w:tcPr>
            <w:tcW w:w="0" w:type="auto"/>
          </w:tcPr>
          <w:p w14:paraId="70960DD1" w14:textId="77777777" w:rsidR="00360B74" w:rsidRDefault="007C3A68">
            <w:pPr>
              <w:pStyle w:val="Compact"/>
              <w:jc w:val="right"/>
            </w:pPr>
            <w:r>
              <w:t>2.598</w:t>
            </w:r>
          </w:p>
        </w:tc>
        <w:tc>
          <w:tcPr>
            <w:tcW w:w="0" w:type="auto"/>
          </w:tcPr>
          <w:p w14:paraId="479CED28" w14:textId="77777777" w:rsidR="00360B74" w:rsidRDefault="007C3A68">
            <w:pPr>
              <w:pStyle w:val="Compact"/>
              <w:jc w:val="right"/>
            </w:pPr>
            <w:r>
              <w:t>.009</w:t>
            </w:r>
          </w:p>
        </w:tc>
      </w:tr>
      <w:tr w:rsidR="00360B74" w14:paraId="3C5AB4E6" w14:textId="77777777">
        <w:tc>
          <w:tcPr>
            <w:tcW w:w="0" w:type="auto"/>
          </w:tcPr>
          <w:p w14:paraId="25F61264" w14:textId="77777777" w:rsidR="00360B74" w:rsidRDefault="007C3A68">
            <w:pPr>
              <w:pStyle w:val="Compact"/>
            </w:pPr>
            <w:r>
              <w:t>car_dev (γ</w:t>
            </w:r>
            <w:r>
              <w:rPr>
                <w:vertAlign w:val="subscript"/>
              </w:rPr>
              <w:t>01</w:t>
            </w:r>
            <w:r>
              <w:t>)</w:t>
            </w:r>
          </w:p>
        </w:tc>
        <w:tc>
          <w:tcPr>
            <w:tcW w:w="0" w:type="auto"/>
          </w:tcPr>
          <w:p w14:paraId="6C2C5407" w14:textId="77777777" w:rsidR="00360B74" w:rsidRDefault="007C3A68">
            <w:pPr>
              <w:pStyle w:val="Compact"/>
              <w:jc w:val="right"/>
            </w:pPr>
            <w:r>
              <w:t>0.517</w:t>
            </w:r>
          </w:p>
        </w:tc>
        <w:tc>
          <w:tcPr>
            <w:tcW w:w="0" w:type="auto"/>
          </w:tcPr>
          <w:p w14:paraId="7BA0783E" w14:textId="77777777" w:rsidR="00360B74" w:rsidRDefault="007C3A68">
            <w:pPr>
              <w:pStyle w:val="Compact"/>
              <w:jc w:val="right"/>
            </w:pPr>
            <w:r>
              <w:t>0.442</w:t>
            </w:r>
          </w:p>
        </w:tc>
        <w:tc>
          <w:tcPr>
            <w:tcW w:w="0" w:type="auto"/>
          </w:tcPr>
          <w:p w14:paraId="5631CB59" w14:textId="77777777" w:rsidR="00360B74" w:rsidRDefault="007C3A68">
            <w:pPr>
              <w:pStyle w:val="Compact"/>
              <w:jc w:val="right"/>
            </w:pPr>
            <w:r>
              <w:t>1.170</w:t>
            </w:r>
          </w:p>
        </w:tc>
        <w:tc>
          <w:tcPr>
            <w:tcW w:w="0" w:type="auto"/>
          </w:tcPr>
          <w:p w14:paraId="4F52F3AB" w14:textId="77777777" w:rsidR="00360B74" w:rsidRDefault="007C3A68">
            <w:pPr>
              <w:pStyle w:val="Compact"/>
              <w:jc w:val="right"/>
            </w:pPr>
            <w:r>
              <w:t>.242</w:t>
            </w:r>
          </w:p>
        </w:tc>
      </w:tr>
      <w:tr w:rsidR="00360B74" w14:paraId="2D38E767" w14:textId="77777777">
        <w:tc>
          <w:tcPr>
            <w:tcW w:w="0" w:type="auto"/>
          </w:tcPr>
          <w:p w14:paraId="7EDAA3DB" w14:textId="77777777" w:rsidR="00360B74" w:rsidRDefault="007C3A68">
            <w:pPr>
              <w:pStyle w:val="Compact"/>
            </w:pPr>
            <w:r>
              <w:t>Time</w:t>
            </w:r>
            <w:r>
              <w:rPr>
                <w:vertAlign w:val="superscript"/>
              </w:rPr>
              <w:t>1</w:t>
            </w:r>
            <w:r>
              <w:t xml:space="preserve"> × car_dev (γ</w:t>
            </w:r>
            <w:r>
              <w:rPr>
                <w:vertAlign w:val="subscript"/>
              </w:rPr>
              <w:t>11</w:t>
            </w:r>
            <w:r>
              <w:t>)</w:t>
            </w:r>
          </w:p>
        </w:tc>
        <w:tc>
          <w:tcPr>
            <w:tcW w:w="0" w:type="auto"/>
          </w:tcPr>
          <w:p w14:paraId="24CD13A1" w14:textId="77777777" w:rsidR="00360B74" w:rsidRDefault="007C3A68">
            <w:pPr>
              <w:pStyle w:val="Compact"/>
              <w:jc w:val="right"/>
            </w:pPr>
            <w:r>
              <w:t>1.852</w:t>
            </w:r>
          </w:p>
        </w:tc>
        <w:tc>
          <w:tcPr>
            <w:tcW w:w="0" w:type="auto"/>
          </w:tcPr>
          <w:p w14:paraId="6A76BFC2" w14:textId="77777777" w:rsidR="00360B74" w:rsidRDefault="007C3A68">
            <w:pPr>
              <w:pStyle w:val="Compact"/>
              <w:jc w:val="right"/>
            </w:pPr>
            <w:r>
              <w:t>0.866</w:t>
            </w:r>
          </w:p>
        </w:tc>
        <w:tc>
          <w:tcPr>
            <w:tcW w:w="0" w:type="auto"/>
          </w:tcPr>
          <w:p w14:paraId="68A75F20" w14:textId="77777777" w:rsidR="00360B74" w:rsidRDefault="007C3A68">
            <w:pPr>
              <w:pStyle w:val="Compact"/>
              <w:jc w:val="right"/>
            </w:pPr>
            <w:r>
              <w:t>2.140</w:t>
            </w:r>
          </w:p>
        </w:tc>
        <w:tc>
          <w:tcPr>
            <w:tcW w:w="0" w:type="auto"/>
          </w:tcPr>
          <w:p w14:paraId="77F92CCF" w14:textId="77777777" w:rsidR="00360B74" w:rsidRDefault="007C3A68">
            <w:pPr>
              <w:pStyle w:val="Compact"/>
              <w:jc w:val="right"/>
            </w:pPr>
            <w:r>
              <w:t>.032</w:t>
            </w:r>
          </w:p>
        </w:tc>
      </w:tr>
    </w:tbl>
    <w:p w14:paraId="7B122AF6" w14:textId="77777777" w:rsidR="00360B74" w:rsidRDefault="007C3A68">
      <w:pPr>
        <w:pStyle w:val="CaptionedFigure"/>
      </w:pPr>
      <w:r>
        <w:rPr>
          <w:noProof/>
        </w:rPr>
        <w:lastRenderedPageBreak/>
        <w:drawing>
          <wp:inline distT="0" distB="0" distL="0" distR="0" wp14:anchorId="56E976C1" wp14:editId="557DA05B">
            <wp:extent cx="5969000" cy="3979333"/>
            <wp:effectExtent l="0" t="0" r="0" b="0"/>
            <wp:docPr id="2" name="Picture" descr="Figure 2:.  4. Growth curve estimates of target fixations as a function of visuospatial prediction abilities and stress pattern during the analysis window. Symbols and lines represent model estimates, and the transparent ribbons represents ±SE. Empirical logit values on y-axis correspond to proportions of 0.50, 0.88, and 0.98. The horizontal dotted line represents the 50% probability of fixating on the target. The vertical dotted line indicates 200 ms after the offset of the first syllable of the verb."/>
            <wp:cNvGraphicFramePr/>
            <a:graphic xmlns:a="http://schemas.openxmlformats.org/drawingml/2006/main">
              <a:graphicData uri="http://schemas.openxmlformats.org/drawingml/2006/picture">
                <pic:pic xmlns:pic="http://schemas.openxmlformats.org/drawingml/2006/picture">
                  <pic:nvPicPr>
                    <pic:cNvPr id="0" name="Picture" descr="/Users/lfa/Desktop/Dissertation/figs/vision/gca/cont_speed_verb/mon_gca_onlypred.png"/>
                    <pic:cNvPicPr>
                      <a:picLocks noChangeAspect="1" noChangeArrowheads="1"/>
                    </pic:cNvPicPr>
                  </pic:nvPicPr>
                  <pic:blipFill>
                    <a:blip r:embed="rId8"/>
                    <a:stretch>
                      <a:fillRect/>
                    </a:stretch>
                  </pic:blipFill>
                  <pic:spPr bwMode="auto">
                    <a:xfrm>
                      <a:off x="0" y="0"/>
                      <a:ext cx="5969000" cy="3979333"/>
                    </a:xfrm>
                    <a:prstGeom prst="rect">
                      <a:avLst/>
                    </a:prstGeom>
                    <a:noFill/>
                    <a:ln w="9525">
                      <a:noFill/>
                      <a:headEnd/>
                      <a:tailEnd/>
                    </a:ln>
                  </pic:spPr>
                </pic:pic>
              </a:graphicData>
            </a:graphic>
          </wp:inline>
        </w:drawing>
      </w:r>
    </w:p>
    <w:p w14:paraId="030729B0" w14:textId="2F537B90" w:rsidR="00360B74" w:rsidRDefault="007C3A68">
      <w:pPr>
        <w:pStyle w:val="ImageCaption"/>
      </w:pPr>
      <w:r>
        <w:rPr>
          <w:i/>
        </w:rPr>
        <w:t>Figure</w:t>
      </w:r>
      <w:r>
        <w:t xml:space="preserve"> </w:t>
      </w:r>
      <w:r w:rsidR="00DF2BEA">
        <w:rPr>
          <w:i/>
        </w:rPr>
        <w:t>3</w:t>
      </w:r>
      <w:r>
        <w:t>. Growth curve estimates of target fixations as a function of visuospatial prediction abilities and stress pattern during the analysis window. Symbols and lines represent model estimates, and</w:t>
      </w:r>
      <w:r>
        <w:t xml:space="preserve"> transparent ribbons </w:t>
      </w:r>
      <w:r>
        <w:t>±SE. Empirical logit valu</w:t>
      </w:r>
      <w:r>
        <w:t>es on y-axis correspond to proportions of 0.50, 0.88, and 0.98</w:t>
      </w:r>
      <w:r w:rsidR="00602010">
        <w:t xml:space="preserve"> </w:t>
      </w:r>
      <w:r>
        <w:t>of fixati</w:t>
      </w:r>
      <w:r w:rsidR="00602010">
        <w:t>ons</w:t>
      </w:r>
      <w:r>
        <w:t xml:space="preserve"> on the target.</w:t>
      </w:r>
    </w:p>
    <w:p w14:paraId="30B80879" w14:textId="77777777" w:rsidR="00602010" w:rsidRDefault="00602010">
      <w:pPr>
        <w:pStyle w:val="ImageCaption"/>
      </w:pPr>
    </w:p>
    <w:p w14:paraId="44D70467" w14:textId="77777777" w:rsidR="00360B74" w:rsidRDefault="007C3A68">
      <w:pPr>
        <w:pStyle w:val="BodyText"/>
      </w:pPr>
      <w:r>
        <w:t>A CORRELATION</w:t>
      </w:r>
      <w:r>
        <w:t xml:space="preserve"> TEST</w:t>
      </w:r>
    </w:p>
    <w:p w14:paraId="07D0B77E" w14:textId="77777777" w:rsidR="00360B74" w:rsidRDefault="007C3A68">
      <w:pPr>
        <w:pStyle w:val="Heading1"/>
      </w:pPr>
      <w:bookmarkStart w:id="1" w:name="tables"/>
      <w:bookmarkEnd w:id="0"/>
      <w:r>
        <w:t>Tables</w:t>
      </w:r>
    </w:p>
    <w:p w14:paraId="6D1C1F9B" w14:textId="77777777" w:rsidR="00360B74" w:rsidRDefault="007C3A68">
      <w:pPr>
        <w:pStyle w:val="Heading2"/>
      </w:pPr>
      <w:bookmarkStart w:id="2" w:name="random-effects"/>
      <w:r>
        <w:t>Random effects</w:t>
      </w:r>
    </w:p>
    <w:tbl>
      <w:tblPr>
        <w:tblStyle w:val="Table"/>
        <w:tblW w:w="0" w:type="pct"/>
        <w:tblLook w:val="0020" w:firstRow="1" w:lastRow="0" w:firstColumn="0" w:lastColumn="0" w:noHBand="0" w:noVBand="0"/>
      </w:tblPr>
      <w:tblGrid>
        <w:gridCol w:w="1256"/>
        <w:gridCol w:w="1189"/>
        <w:gridCol w:w="1083"/>
        <w:gridCol w:w="756"/>
        <w:gridCol w:w="1403"/>
      </w:tblGrid>
      <w:tr w:rsidR="00360B74" w14:paraId="2B956579" w14:textId="77777777" w:rsidTr="00360B74">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AF57E68" w14:textId="77777777" w:rsidR="00360B74" w:rsidRDefault="007C3A68">
            <w:pPr>
              <w:pStyle w:val="Compact"/>
            </w:pPr>
            <w:r>
              <w:t>Group</w:t>
            </w:r>
          </w:p>
        </w:tc>
        <w:tc>
          <w:tcPr>
            <w:tcW w:w="0" w:type="auto"/>
            <w:tcBorders>
              <w:bottom w:val="single" w:sz="0" w:space="0" w:color="auto"/>
            </w:tcBorders>
            <w:vAlign w:val="bottom"/>
          </w:tcPr>
          <w:p w14:paraId="66FF5AC8" w14:textId="77777777" w:rsidR="00360B74" w:rsidRDefault="007C3A68">
            <w:pPr>
              <w:pStyle w:val="Compact"/>
            </w:pPr>
            <w:r>
              <w:t>Parameter</w:t>
            </w:r>
          </w:p>
        </w:tc>
        <w:tc>
          <w:tcPr>
            <w:tcW w:w="0" w:type="auto"/>
            <w:tcBorders>
              <w:bottom w:val="single" w:sz="0" w:space="0" w:color="auto"/>
            </w:tcBorders>
            <w:vAlign w:val="bottom"/>
          </w:tcPr>
          <w:p w14:paraId="6D4AA65C" w14:textId="77777777" w:rsidR="00360B74" w:rsidRDefault="007C3A68">
            <w:pPr>
              <w:pStyle w:val="Compact"/>
              <w:jc w:val="right"/>
            </w:pPr>
            <w:r>
              <w:t>Variance</w:t>
            </w:r>
          </w:p>
        </w:tc>
        <w:tc>
          <w:tcPr>
            <w:tcW w:w="0" w:type="auto"/>
            <w:tcBorders>
              <w:bottom w:val="single" w:sz="0" w:space="0" w:color="auto"/>
            </w:tcBorders>
            <w:vAlign w:val="bottom"/>
          </w:tcPr>
          <w:p w14:paraId="63DD135A" w14:textId="77777777" w:rsidR="00360B74" w:rsidRDefault="007C3A68">
            <w:pPr>
              <w:pStyle w:val="Compact"/>
              <w:jc w:val="right"/>
            </w:pPr>
            <w:r>
              <w:t>SD</w:t>
            </w:r>
          </w:p>
        </w:tc>
        <w:tc>
          <w:tcPr>
            <w:tcW w:w="0" w:type="auto"/>
            <w:tcBorders>
              <w:bottom w:val="single" w:sz="0" w:space="0" w:color="auto"/>
            </w:tcBorders>
            <w:vAlign w:val="bottom"/>
          </w:tcPr>
          <w:p w14:paraId="333C4E52" w14:textId="77777777" w:rsidR="00360B74" w:rsidRDefault="007C3A68">
            <w:pPr>
              <w:pStyle w:val="Compact"/>
              <w:jc w:val="right"/>
            </w:pPr>
            <w:r>
              <w:t>Correlations</w:t>
            </w:r>
          </w:p>
        </w:tc>
      </w:tr>
      <w:tr w:rsidR="00360B74" w14:paraId="765C3975" w14:textId="77777777">
        <w:tc>
          <w:tcPr>
            <w:tcW w:w="0" w:type="auto"/>
          </w:tcPr>
          <w:p w14:paraId="1D62A9F4" w14:textId="77777777" w:rsidR="00360B74" w:rsidRDefault="007C3A68">
            <w:pPr>
              <w:pStyle w:val="Compact"/>
            </w:pPr>
            <w:r>
              <w:lastRenderedPageBreak/>
              <w:t>Participant</w:t>
            </w:r>
          </w:p>
        </w:tc>
        <w:tc>
          <w:tcPr>
            <w:tcW w:w="0" w:type="auto"/>
          </w:tcPr>
          <w:p w14:paraId="6D1EA4B1" w14:textId="77777777" w:rsidR="00360B74" w:rsidRDefault="007C3A68">
            <w:pPr>
              <w:pStyle w:val="Compact"/>
            </w:pPr>
            <w:r>
              <w:t>Intercept</w:t>
            </w:r>
          </w:p>
        </w:tc>
        <w:tc>
          <w:tcPr>
            <w:tcW w:w="0" w:type="auto"/>
          </w:tcPr>
          <w:p w14:paraId="4BA11D33" w14:textId="77777777" w:rsidR="00360B74" w:rsidRDefault="007C3A68">
            <w:pPr>
              <w:pStyle w:val="Compact"/>
              <w:jc w:val="right"/>
            </w:pPr>
            <w:r>
              <w:t>0.080</w:t>
            </w:r>
          </w:p>
        </w:tc>
        <w:tc>
          <w:tcPr>
            <w:tcW w:w="0" w:type="auto"/>
          </w:tcPr>
          <w:p w14:paraId="7EEA13F3" w14:textId="77777777" w:rsidR="00360B74" w:rsidRDefault="007C3A68">
            <w:pPr>
              <w:pStyle w:val="Compact"/>
              <w:jc w:val="right"/>
            </w:pPr>
            <w:r>
              <w:t>0.283</w:t>
            </w:r>
          </w:p>
        </w:tc>
        <w:tc>
          <w:tcPr>
            <w:tcW w:w="0" w:type="auto"/>
          </w:tcPr>
          <w:p w14:paraId="750C5D17" w14:textId="77777777" w:rsidR="00360B74" w:rsidRDefault="007C3A68">
            <w:pPr>
              <w:pStyle w:val="Compact"/>
              <w:jc w:val="right"/>
            </w:pPr>
            <w:r>
              <w:t>1.00</w:t>
            </w:r>
          </w:p>
        </w:tc>
      </w:tr>
      <w:tr w:rsidR="00360B74" w14:paraId="69461F29" w14:textId="77777777">
        <w:tc>
          <w:tcPr>
            <w:tcW w:w="0" w:type="auto"/>
          </w:tcPr>
          <w:p w14:paraId="4B153251" w14:textId="77777777" w:rsidR="00360B74" w:rsidRDefault="007C3A68">
            <w:pPr>
              <w:pStyle w:val="Compact"/>
            </w:pPr>
            <w:r>
              <w:t>Item</w:t>
            </w:r>
          </w:p>
        </w:tc>
        <w:tc>
          <w:tcPr>
            <w:tcW w:w="0" w:type="auto"/>
          </w:tcPr>
          <w:p w14:paraId="07382E29" w14:textId="77777777" w:rsidR="00360B74" w:rsidRDefault="007C3A68">
            <w:pPr>
              <w:pStyle w:val="Compact"/>
            </w:pPr>
            <w:r>
              <w:t>Intercept</w:t>
            </w:r>
          </w:p>
        </w:tc>
        <w:tc>
          <w:tcPr>
            <w:tcW w:w="0" w:type="auto"/>
          </w:tcPr>
          <w:p w14:paraId="114FA17B" w14:textId="77777777" w:rsidR="00360B74" w:rsidRDefault="007C3A68">
            <w:pPr>
              <w:pStyle w:val="Compact"/>
              <w:jc w:val="right"/>
            </w:pPr>
            <w:r>
              <w:t>0.485</w:t>
            </w:r>
          </w:p>
        </w:tc>
        <w:tc>
          <w:tcPr>
            <w:tcW w:w="0" w:type="auto"/>
          </w:tcPr>
          <w:p w14:paraId="36F2A335" w14:textId="77777777" w:rsidR="00360B74" w:rsidRDefault="007C3A68">
            <w:pPr>
              <w:pStyle w:val="Compact"/>
              <w:jc w:val="right"/>
            </w:pPr>
            <w:r>
              <w:t>0.696</w:t>
            </w:r>
          </w:p>
        </w:tc>
        <w:tc>
          <w:tcPr>
            <w:tcW w:w="0" w:type="auto"/>
          </w:tcPr>
          <w:p w14:paraId="156BF296" w14:textId="77777777" w:rsidR="00360B74" w:rsidRDefault="007C3A68">
            <w:pPr>
              <w:pStyle w:val="Compact"/>
              <w:jc w:val="right"/>
            </w:pPr>
            <w:r>
              <w:t>1.00</w:t>
            </w:r>
          </w:p>
        </w:tc>
      </w:tr>
      <w:tr w:rsidR="00360B74" w14:paraId="22C4EE72" w14:textId="77777777">
        <w:tc>
          <w:tcPr>
            <w:tcW w:w="0" w:type="auto"/>
          </w:tcPr>
          <w:p w14:paraId="42264A5A" w14:textId="77777777" w:rsidR="00360B74" w:rsidRDefault="007C3A68">
            <w:pPr>
              <w:pStyle w:val="Compact"/>
            </w:pPr>
            <w:r>
              <w:t>Residual</w:t>
            </w:r>
          </w:p>
        </w:tc>
        <w:tc>
          <w:tcPr>
            <w:tcW w:w="0" w:type="auto"/>
          </w:tcPr>
          <w:p w14:paraId="51FF2C18" w14:textId="77777777" w:rsidR="00360B74" w:rsidRDefault="00360B74"/>
        </w:tc>
        <w:tc>
          <w:tcPr>
            <w:tcW w:w="0" w:type="auto"/>
          </w:tcPr>
          <w:p w14:paraId="454B86E9" w14:textId="77777777" w:rsidR="00360B74" w:rsidRDefault="007C3A68">
            <w:pPr>
              <w:pStyle w:val="Compact"/>
              <w:jc w:val="right"/>
            </w:pPr>
            <w:r>
              <w:t>9.123</w:t>
            </w:r>
          </w:p>
        </w:tc>
        <w:tc>
          <w:tcPr>
            <w:tcW w:w="0" w:type="auto"/>
          </w:tcPr>
          <w:p w14:paraId="7D836B96" w14:textId="77777777" w:rsidR="00360B74" w:rsidRDefault="007C3A68">
            <w:pPr>
              <w:pStyle w:val="Compact"/>
              <w:jc w:val="right"/>
            </w:pPr>
            <w:r>
              <w:t>3.020</w:t>
            </w:r>
          </w:p>
        </w:tc>
        <w:tc>
          <w:tcPr>
            <w:tcW w:w="0" w:type="auto"/>
          </w:tcPr>
          <w:p w14:paraId="35C35C9E" w14:textId="77777777" w:rsidR="00360B74" w:rsidRDefault="00360B74"/>
        </w:tc>
      </w:tr>
    </w:tbl>
    <w:p w14:paraId="77FC451B" w14:textId="77777777" w:rsidR="00360B74" w:rsidRDefault="007C3A68">
      <w:pPr>
        <w:pStyle w:val="BodyText"/>
      </w:pPr>
      <w:r>
        <w:t>Appendix 2: Growth curve model random effects</w:t>
      </w:r>
      <w:bookmarkEnd w:id="1"/>
      <w:bookmarkEnd w:id="2"/>
    </w:p>
    <w:sectPr w:rsidR="00360B74" w:rsidSect="00CB20D0">
      <w:headerReference w:type="even" r:id="rId9"/>
      <w:headerReference w:type="default" r:id="rId10"/>
      <w:headerReference w:type="first" r:id="rId1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F60CD" w14:textId="77777777" w:rsidR="007C3A68" w:rsidRDefault="007C3A68">
      <w:pPr>
        <w:spacing w:before="0" w:after="0" w:line="240" w:lineRule="auto"/>
      </w:pPr>
      <w:r>
        <w:separator/>
      </w:r>
    </w:p>
  </w:endnote>
  <w:endnote w:type="continuationSeparator" w:id="0">
    <w:p w14:paraId="5873877A" w14:textId="77777777" w:rsidR="007C3A68" w:rsidRDefault="007C3A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AA6BC" w14:textId="77777777" w:rsidR="007C3A68" w:rsidRDefault="007C3A68">
      <w:r>
        <w:separator/>
      </w:r>
    </w:p>
  </w:footnote>
  <w:footnote w:type="continuationSeparator" w:id="0">
    <w:p w14:paraId="55604EF4" w14:textId="77777777" w:rsidR="007C3A68" w:rsidRDefault="007C3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2315EC00" w14:textId="77777777" w:rsidR="00AF36ED" w:rsidRDefault="007C3A6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0B759F" w14:textId="77777777" w:rsidR="00AF36ED" w:rsidRDefault="007C3A68"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63B010B2" w14:textId="77777777" w:rsidR="00AF36ED" w:rsidRDefault="007C3A6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D699B" w14:textId="77777777" w:rsidR="00AF36ED" w:rsidRPr="00AF36ED" w:rsidRDefault="007C3A68" w:rsidP="00572FF5">
    <w:pPr>
      <w:pStyle w:val="Header"/>
      <w:ind w:right="357"/>
      <w:rPr>
        <w:lang w:val="de-DE"/>
      </w:rPr>
    </w:pPr>
    <w:r w:rsidRPr="005036C4">
      <w:t>Title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3596050"/>
      <w:docPartObj>
        <w:docPartGallery w:val="Page Numbers (Top of Page)"/>
        <w:docPartUnique/>
      </w:docPartObj>
    </w:sdtPr>
    <w:sdtEndPr>
      <w:rPr>
        <w:rStyle w:val="PageNumber"/>
      </w:rPr>
    </w:sdtEndPr>
    <w:sdtContent>
      <w:p w14:paraId="3C7D2F5B" w14:textId="77777777" w:rsidR="00CB20D0" w:rsidRDefault="007C3A68"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298E77B3" w14:textId="77777777" w:rsidR="00CB20D0" w:rsidRPr="00CB20D0" w:rsidRDefault="007C3A68" w:rsidP="00CB20D0">
    <w:pPr>
      <w:pStyle w:val="Header"/>
      <w:ind w:right="357"/>
      <w:rPr>
        <w:lang w:val="de-DE"/>
      </w:rPr>
    </w:pPr>
    <w:r w:rsidRPr="005036C4">
      <w:t>Running head: Title</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60B74"/>
    <w:rsid w:val="004E29B3"/>
    <w:rsid w:val="00590D07"/>
    <w:rsid w:val="00602010"/>
    <w:rsid w:val="00784D58"/>
    <w:rsid w:val="007C3A68"/>
    <w:rsid w:val="008D6863"/>
    <w:rsid w:val="00B86B75"/>
    <w:rsid w:val="00BC48D5"/>
    <w:rsid w:val="00C36279"/>
    <w:rsid w:val="00DF2BE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6D975D"/>
  <w15:docId w15:val="{4A1F030C-7E3B-9344-89D5-2B265C41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931</Words>
  <Characters>5310</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Results</vt:lpstr>
      <vt:lpstr>Untitled</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cp:lastModifiedBy>Laura Fernandez Arroyo</cp:lastModifiedBy>
  <cp:revision>2</cp:revision>
  <dcterms:created xsi:type="dcterms:W3CDTF">2021-11-06T17:24:00Z</dcterms:created>
  <dcterms:modified xsi:type="dcterms:W3CDTF">2021-11-06T18:51:00Z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classoption">
    <vt:lpwstr>man</vt:lpwstr>
  </property>
  <property fmtid="{D5CDD505-2E9C-101B-9397-08002B2CF9AE}" pid="4" name="csl">
    <vt:lpwstr>/Users/lfa/Desktop/Dissertation/packrat/lib/x86_64-apple-darwin15.6.0/3.6.1/papaja/rmd/apa6.csl</vt:lpwstr>
  </property>
  <property fmtid="{D5CDD505-2E9C-101B-9397-08002B2CF9AE}" pid="5" name="documentclass">
    <vt:lpwstr>apa6</vt:lpwstr>
  </property>
  <property fmtid="{D5CDD505-2E9C-101B-9397-08002B2CF9AE}" pid="6" name="draft">
    <vt:lpwstr>yes</vt:lpwstr>
  </property>
  <property fmtid="{D5CDD505-2E9C-101B-9397-08002B2CF9AE}" pid="7" name="figurelist">
    <vt:lpwstr>yes</vt:lpwstr>
  </property>
  <property fmtid="{D5CDD505-2E9C-101B-9397-08002B2CF9AE}" pid="8" name="floatsintext">
    <vt:lpwstr>yes</vt:lpwstr>
  </property>
  <property fmtid="{D5CDD505-2E9C-101B-9397-08002B2CF9AE}" pid="9" name="footnotelist">
    <vt:lpwstr>yes</vt:lpwstr>
  </property>
  <property fmtid="{D5CDD505-2E9C-101B-9397-08002B2CF9AE}" pid="10" name="linenumbers">
    <vt:lpwstr>yes</vt:lpwstr>
  </property>
  <property fmtid="{D5CDD505-2E9C-101B-9397-08002B2CF9AE}" pid="11" name="mask">
    <vt:lpwstr>yes</vt:lpwstr>
  </property>
  <property fmtid="{D5CDD505-2E9C-101B-9397-08002B2CF9AE}" pid="12" name="output">
    <vt:lpwstr>papaja::apa6_word</vt:lpwstr>
  </property>
  <property fmtid="{D5CDD505-2E9C-101B-9397-08002B2CF9AE}" pid="13" name="shorttitle">
    <vt:lpwstr>Title</vt:lpwstr>
  </property>
  <property fmtid="{D5CDD505-2E9C-101B-9397-08002B2CF9AE}" pid="14" name="tablelist">
    <vt:lpwstr>yes</vt:lpwstr>
  </property>
  <property fmtid="{D5CDD505-2E9C-101B-9397-08002B2CF9AE}" pid="15" name="wordcount">
    <vt:lpwstr/>
  </property>
</Properties>
</file>