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rId21.png" ContentType="image/png"/>
  <Override PartName="/word/media/rId2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Results</w:t>
      </w:r>
    </w:p>
    <w:p>
      <w:pPr>
        <w:pStyle w:val="FirstParagraph"/>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itel"/>
      </w:pPr>
      <w:r>
        <w:t xml:space="preserve">Results</w:t>
      </w:r>
    </w:p>
    <w:p>
      <w:pPr>
        <w:pStyle w:val="SourceCode"/>
      </w:pPr>
      <w:r>
        <w:rPr>
          <w:rStyle w:val="VerbatimChar"/>
        </w:rPr>
        <w:t xml:space="preserve">## Warning: package 'magrittr' was built under R version 3.6.2</w:t>
      </w:r>
    </w:p>
    <w:p>
      <w:pPr>
        <w:pStyle w:val="SourceCode"/>
      </w:pPr>
      <w:r>
        <w:rPr>
          <w:rStyle w:val="VerbatimChar"/>
        </w:rPr>
        <w:t xml:space="preserve">## Warning: package 'dplyr' was built under R version 3.6.2</w:t>
      </w:r>
    </w:p>
    <w:p>
      <w:pPr>
        <w:pStyle w:val="SourceCode"/>
      </w:pPr>
      <w:r>
        <w:rPr>
          <w:rStyle w:val="VerbatimChar"/>
        </w:rPr>
        <w:t xml:space="preserve">## Warning: package 'tidyr' was built under R version 3.6.2</w:t>
      </w:r>
    </w:p>
    <w:p>
      <w:pPr>
        <w:pStyle w:val="SourceCode"/>
      </w:pPr>
      <w:r>
        <w:rPr>
          <w:rStyle w:val="VerbatimChar"/>
        </w:rPr>
        <w:t xml:space="preserve">## Warning: package 'readr' was built under R version 3.6.2</w:t>
      </w:r>
    </w:p>
    <w:p>
      <w:pPr>
        <w:pStyle w:val="SourceCode"/>
      </w:pPr>
      <w:r>
        <w:rPr>
          <w:rStyle w:val="VerbatimChar"/>
        </w:rPr>
        <w:t xml:space="preserve">## Warning: package 'forcats' was built under R version 3.6.2</w:t>
      </w:r>
    </w:p>
    <w:p>
      <w:pPr>
        <w:pStyle w:val="SourceCode"/>
      </w:pPr>
      <w:r>
        <w:rPr>
          <w:rStyle w:val="VerbatimChar"/>
        </w:rPr>
        <w:t xml:space="preserve">## Warning: package 'purrr' was built under R version 3.6.2</w:t>
      </w:r>
    </w:p>
    <w:p>
      <w:pPr>
        <w:pStyle w:val="SourceCode"/>
      </w:pPr>
      <w:r>
        <w:rPr>
          <w:rStyle w:val="VerbatimChar"/>
        </w:rPr>
        <w:t xml:space="preserve">## Warning: package 'ggplot2' was built under R version 3.6.2</w:t>
      </w:r>
    </w:p>
    <w:p>
      <w:pPr>
        <w:pStyle w:val="SourceCode"/>
      </w:pPr>
      <w:r>
        <w:rPr>
          <w:rStyle w:val="VerbatimChar"/>
        </w:rPr>
        <w:t xml:space="preserve">## Warning: package 'here' was built under R version 3.6.2</w:t>
      </w:r>
    </w:p>
    <w:p>
      <w:pPr>
        <w:pStyle w:val="SourceCode"/>
      </w:pPr>
      <w:r>
        <w:rPr>
          <w:rStyle w:val="VerbatimChar"/>
        </w:rPr>
        <w:t xml:space="preserve">## Warning: package 'broom' was built under R version 3.6.2</w:t>
      </w:r>
    </w:p>
    <w:p>
      <w:pPr>
        <w:pStyle w:val="SourceCode"/>
      </w:pPr>
      <w:r>
        <w:rPr>
          <w:rStyle w:val="VerbatimChar"/>
        </w:rPr>
        <w:t xml:space="preserve">## Warning: package 'broom.mixed' was built under R version 3.6.2</w:t>
      </w:r>
    </w:p>
    <w:p>
      <w:pPr>
        <w:pStyle w:val="SourceCode"/>
      </w:pPr>
      <w:r>
        <w:rPr>
          <w:rStyle w:val="VerbatimChar"/>
        </w:rPr>
        <w:t xml:space="preserve">## Warning: package 'TMB' was built under R version 3.6.2</w:t>
      </w:r>
    </w:p>
    <w:p>
      <w:pPr>
        <w:pStyle w:val="SourceCode"/>
      </w:pPr>
      <w:r>
        <w:rPr>
          <w:rStyle w:val="VerbatimChar"/>
        </w:rPr>
        <w:t xml:space="preserve">## Warning in checkMatrixPackageVersion(): Package version inconsistency detected.</w:t>
      </w:r>
      <w:r>
        <w:br/>
      </w:r>
      <w:r>
        <w:rPr>
          <w:rStyle w:val="VerbatimChar"/>
        </w:rPr>
        <w:t xml:space="preserve">## TMB was built with Matrix version 1.2.18</w:t>
      </w:r>
      <w:r>
        <w:br/>
      </w:r>
      <w:r>
        <w:rPr>
          <w:rStyle w:val="VerbatimChar"/>
        </w:rPr>
        <w:t xml:space="preserve">## Current Matrix version is 1.3.4</w:t>
      </w:r>
      <w:r>
        <w:br/>
      </w:r>
      <w:r>
        <w:rPr>
          <w:rStyle w:val="VerbatimChar"/>
        </w:rPr>
        <w:t xml:space="preserve">## Please re-install 'TMB' from source using install.packages('TMB', type = 'source') or ask CRAN for a binary version of 'TMB' matching CRAN's 'Matrix' package</w:t>
      </w:r>
    </w:p>
    <w:p>
      <w:pPr>
        <w:pStyle w:val="SourceCode"/>
      </w:pPr>
      <w:r>
        <w:rPr>
          <w:rStyle w:val="VerbatimChar"/>
        </w:rPr>
        <w:t xml:space="preserve">## Warning: package 'lme4' was built under R version 3.6.2</w:t>
      </w:r>
    </w:p>
    <w:p>
      <w:pPr>
        <w:pStyle w:val="SourceCode"/>
      </w:pPr>
      <w:r>
        <w:rPr>
          <w:rStyle w:val="VerbatimChar"/>
        </w:rPr>
        <w:t xml:space="preserve">## Warning: package 'Matrix' was built under R version 3.6.2</w:t>
      </w:r>
    </w:p>
    <w:p>
      <w:pPr>
        <w:pStyle w:val="SourceCode"/>
      </w:pPr>
      <w:r>
        <w:rPr>
          <w:rStyle w:val="VerbatimChar"/>
        </w:rPr>
        <w:t xml:space="preserve">## Warning: package 'AICcmodavg' was built under R version 3.6.2</w:t>
      </w:r>
    </w:p>
    <w:p>
      <w:pPr>
        <w:pStyle w:val="SourceCode"/>
      </w:pPr>
      <w:r>
        <w:rPr>
          <w:rStyle w:val="VerbatimChar"/>
        </w:rPr>
        <w:t xml:space="preserve">## Warning: package 'patchwork' was built under R version 3.6.2</w:t>
      </w:r>
    </w:p>
    <w:p>
      <w:pPr>
        <w:pStyle w:val="FirstParagraph"/>
      </w:pPr>
      <w:r>
        <w:t xml:space="preserve">4.4. Data analysis</w:t>
      </w:r>
      <w:r>
        <w:t xml:space="preserve"> </w:t>
      </w:r>
      <w:r>
        <w:t xml:space="preserve"> </w:t>
      </w:r>
      <w:r>
        <w:t xml:space="preserve">Statistical analyses were conducted on R (Team &amp; others, 2013) with the package lme4 (Bates, Mächler, Bolker, &amp; Walker, 2014). The gaze fixation data were downsampled to 50 ms bins and incorrect responses were filtered out (0.42% of data). The data were centered 200 ms after the onset of the last syllable to account for saccade planning and launching, as is standard procedure in auditory eye-tracking studies (e.g., Fischer, 1992; Saslow, 1967).</w:t>
      </w:r>
    </w:p>
    <w:p>
      <w:pPr>
        <w:pStyle w:val="Textkrper"/>
      </w:pPr>
      <w:r>
        <w:t xml:space="preserve">In the visuospatial prediction data, trials that timed out before the participant pressed the key were discarded (~25%). Those trials whose timing exceeded two standard deviations from the mean were also removed, imitating Broeker et al. (2020). The clean data was analyzed using a generalized linear mixed model. The timing of the key press was used as outcome. The predictors were speed of the trial and direction of the car (contrast-coded). Since speed had three levels, pairwise comparisons were run. The model also contained by-subject random intercepts. The random effects not explained by the model were used as measure of visuospatial prediction ability for later analyses.</w:t>
      </w:r>
    </w:p>
    <w:p>
      <w:pPr>
        <w:pStyle w:val="Textkrper"/>
      </w:pPr>
      <w:r>
        <w:t xml:space="preserve">Verbal and visuospatial processing speed were calculated from only correct trials. For verbal processing speed, we recorded the time it took participants to answer the mathematical problems. This time was used as the outcome of a generalized linear mixed effect model with length of the set (number of mathematical operations and words to remember) as predictor and by-subject random intercepts. For visuospatial processing speed, we recorded the time participants needed to recreate the sequences. Again, these data were run as outcome of a generalized linear mixed model with sequence length (number of squares to recall) as predictor and by-subject random intercepts. The random variances not explained by the models were used as respective measures of processing speed.</w:t>
      </w:r>
      <w:r>
        <w:t xml:space="preserve"> </w:t>
      </w:r>
      <w:r>
        <w:t xml:space="preserve">Negative values indicated shorter reaction times, and thus faster processing speed.</w:t>
      </w:r>
    </w:p>
    <w:p>
      <w:pPr>
        <w:pStyle w:val="Textkrper"/>
      </w:pPr>
      <w:r>
        <w:t xml:space="preserve">Growth curve analyses (GCA, Mirman, 2016) with mixed effects were used to analyze the association between processing speeds and visuospatial prediction with verbal prediction in the time window around the verb encompassing the departure of looks from chance levels.</w:t>
      </w:r>
      <w:r>
        <w:t xml:space="preserve"> </w:t>
      </w:r>
      <w:r>
        <w:t xml:space="preserve">The time window spanned from 200 ms before to 200 ms after the onset of the last syllable in the verb.</w:t>
      </w:r>
      <w:r>
        <w:t xml:space="preserve"> </w:t>
      </w:r>
      <w:r>
        <w:t xml:space="preserve">We ran two GCAs.</w:t>
      </w:r>
      <w:r>
        <w:t xml:space="preserve"> </w:t>
      </w:r>
      <w:r>
        <w:t xml:space="preserve">The first one included stress pattern, the two processing speeds, the linear and quadratic orthogonal polynomial time terms as fixed effects.</w:t>
      </w:r>
      <w:r>
        <w:t xml:space="preserve"> </w:t>
      </w:r>
      <w:r>
        <w:t xml:space="preserve">Running this model allows comparison of processing speed of different types of information within the same model to compare how much of the variance in responses are explained by the modality in which it is received.</w:t>
      </w:r>
      <w:r>
        <w:t xml:space="preserve"> </w:t>
      </w:r>
      <w:r>
        <w:t xml:space="preserve">The second one included stress pattern, visuospatial prediction ability, visuospatial processing speed, the linear and quadratic orthogonal polynomial time terms as fixed effects.</w:t>
      </w:r>
      <w:r>
        <w:t xml:space="preserve"> </w:t>
      </w:r>
      <w:r>
        <w:t xml:space="preserve">This model allows direct comparison of effects of both visuospatial measures.</w:t>
      </w:r>
      <w:r>
        <w:t xml:space="preserve"> </w:t>
      </w:r>
      <w:r>
        <w:t xml:space="preserve">By-subject and by-item random intercepts were included in all GCAs.</w:t>
      </w:r>
      <w:r>
        <w:t xml:space="preserve"> </w:t>
      </w:r>
      <w:r>
        <w:t xml:space="preserve">No random slopes were included as the models resulted singular.</w:t>
      </w:r>
      <w:r>
        <w:t xml:space="preserve"> </w:t>
      </w:r>
      <w:r>
        <w:t xml:space="preserve">Main effects and interactions were assessed by means of nested model comparisons.</w:t>
      </w:r>
      <w:r>
        <w:t xml:space="preserve"> </w:t>
      </w:r>
      <w:r>
        <w:t xml:space="preserve">The linear and quadratic orthogonal polynomial time terms model the time course in the GCA.</w:t>
      </w:r>
      <w:r>
        <w:t xml:space="preserve"> </w:t>
      </w:r>
      <w:r>
        <w:t xml:space="preserve">The outcome data, proportion of fixations on the target at the onset of the last syllable on the verb from the eye-tracking prediction task, was modified using the weighted empirical logic transformation, as it is binary data (fixations on the target or the distractor; Barr, 2008).</w:t>
      </w:r>
    </w:p>
    <w:bookmarkStart w:id="22" w:name="results"/>
    <w:p>
      <w:pPr>
        <w:pStyle w:val="berschrift1"/>
      </w:pPr>
      <w:r>
        <w:t xml:space="preserve">Results</w:t>
      </w:r>
    </w:p>
    <w:p>
      <w:pPr>
        <w:pStyle w:val="FirstParagraph"/>
      </w:pPr>
      <w:r>
        <w:t xml:space="preserve">Figure 5 shows the time course of participants’ fixations on the targets during our time window.</w:t>
      </w:r>
      <w:r>
        <w:t xml:space="preserve"> </w:t>
      </w:r>
      <w:r>
        <w:t xml:space="preserve">As observed, monolingual speakers start to direct their gaze to the target above chance before hearing the suffix.</w:t>
      </w:r>
      <w:r>
        <w:t xml:space="preserve"> </w:t>
      </w:r>
      <w:r>
        <w:t xml:space="preserve">That is, they were fixating on the target above chance at the onset of the last syllable in the verbs—the syllable containing the suffix to be predicted.</w:t>
      </w:r>
    </w:p>
    <w:p>
      <w:pPr>
        <w:pStyle w:val="CaptionedFigure"/>
      </w:pPr>
      <w:r>
        <w:drawing>
          <wp:inline>
            <wp:extent cx="5969000" cy="4642555"/>
            <wp:effectExtent b="0" l="0" r="0" t="0"/>
            <wp:docPr descr="Figure 1:.  5. Time course of fixations on the target verb." title="" id="1" name="Picture"/>
            <a:graphic>
              <a:graphicData uri="http://schemas.openxmlformats.org/drawingml/2006/picture">
                <pic:pic>
                  <pic:nvPicPr>
                    <pic:cNvPr descr="/Users/lfa/Desktop/Dissertation/figs/vision/gca/cont_speed_verb/timecourse_mon_zero0.png" id="0" name="Picture"/>
                    <pic:cNvPicPr>
                      <a:picLocks noChangeArrowheads="1" noChangeAspect="1"/>
                    </pic:cNvPicPr>
                  </pic:nvPicPr>
                  <pic:blipFill>
                    <a:blip r:embed="rId20"/>
                    <a:stretch>
                      <a:fillRect/>
                    </a:stretch>
                  </pic:blipFill>
                  <pic:spPr bwMode="auto">
                    <a:xfrm>
                      <a:off x="0" y="0"/>
                      <a:ext cx="5969000" cy="4642555"/>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w:t>
      </w:r>
      <w:r>
        <w:t xml:space="preserve">.  5. Time course of fixations on the target verb.</w:t>
      </w:r>
    </w:p>
    <w:p>
      <w:pPr>
        <w:pStyle w:val="Textkrper"/>
      </w:pPr>
      <w:r>
        <w:t xml:space="preserve">For full model formulas and summaries see Appendices 2 and 3.</w:t>
      </w:r>
      <w:r>
        <w:t xml:space="preserve"> </w:t>
      </w:r>
      <w:r>
        <w:t xml:space="preserve">The log odds of participants fixating on the target at 200 ms after the objective onset of the last syllable in the verb estimated by the processing speeds model is</w:t>
      </w:r>
      <w:r>
        <w:t xml:space="preserve"> </w:t>
      </w:r>
      <w:r>
        <w:t xml:space="preserve">γ</w:t>
      </w:r>
      <w:r>
        <w:rPr>
          <w:vertAlign w:val="subscript"/>
        </w:rPr>
        <w:t xml:space="preserve">00</w:t>
      </w:r>
      <w:r>
        <w:t xml:space="preserve"> = 0.80; SE = 0.16;</w:t>
      </w:r>
      <w:r>
        <w:t xml:space="preserve"> </w:t>
      </w:r>
      <w:r>
        <w:rPr>
          <w:i/>
        </w:rPr>
        <w:t xml:space="preserve">t</w:t>
      </w:r>
      <w:r>
        <w:t xml:space="preserve"> = 5.12;</w:t>
      </w:r>
      <w:r>
        <w:t xml:space="preserve"> </w:t>
      </w:r>
      <w:r>
        <w:rPr>
          <w:i/>
        </w:rPr>
        <w:t xml:space="preserve">p</w:t>
      </w:r>
      <w:r>
        <w:t xml:space="preserve"> &lt; .001 (proportion = ).</w:t>
      </w:r>
      <w:r>
        <w:t xml:space="preserve"> </w:t>
      </w:r>
      <w:r>
        <w:t xml:space="preserve">The exact probabilities for each condition can be found in Table 1.</w:t>
      </w:r>
    </w:p>
    <w:p>
      <w:pPr>
        <w:pStyle w:val=""/>
      </w:pPr>
      <w:r>
        <w:t xml:space="preserve">Table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288"/>
        <w:tblLook w:firstRow="1" w:lastRow="0" w:firstColumn="0" w:lastColumn="0" w:noHBand="0" w:noVBand="1"/>
      </w:tblPr>
      <w:tblGrid>
        <w:gridCol w:w="1584"/>
        <w:gridCol w:w="1728"/>
        <w:gridCol w:w="1728"/>
        <w:gridCol w:w="1080"/>
        <w:gridCol w:w="1584"/>
        <w:gridCol w:w="1584"/>
      </w:tblGrid>
      <w:tr>
        <w:trPr>
          <w:cantSplit/>
          <w:trHeight w:val="360" w:hRule="auto"/>
          <w:tblHeader/>
        </w:trPr>
        <w:tc>
          <w:tcPr>
            <w:tcBorders>
              <w:bottom w:val="single" w:sz="6" w:space="0" w:color="000000"/>
              <w:top w:val="single" w:sz="12" w:space="0" w:color="000000"/>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Lexical stress</w:t>
            </w:r>
          </w:p>
        </w:tc>
        <w:tc>
          <w:tcPr>
            <w:tcBorders>
              <w:bottom w:val="single" w:sz="6" w:space="0" w:color="000000"/>
              <w:top w:val="single" w:sz="12" w:space="0" w:color="000000"/>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Verbal processing speed</w:t>
            </w:r>
          </w:p>
        </w:tc>
        <w:tc>
          <w:tcPr>
            <w:tcBorders>
              <w:bottom w:val="single" w:sz="6" w:space="0" w:color="000000"/>
              <w:top w:val="single" w:sz="12"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Visuospatial processing speed</w:t>
            </w:r>
          </w:p>
        </w:tc>
        <w:tc>
          <w:tcPr>
            <w:tcBorders>
              <w:bottom w:val="single" w:sz="6" w:space="0" w:color="000000"/>
              <w:top w:val="single" w:sz="12"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Probability</w:t>
            </w:r>
          </w:p>
        </w:tc>
        <w:tc>
          <w:tcPr>
            <w:tcBorders>
              <w:bottom w:val="single" w:sz="6" w:space="0" w:color="000000"/>
              <w:top w:val="single" w:sz="12"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Lower bound</w:t>
            </w:r>
          </w:p>
        </w:tc>
        <w:tc>
          <w:tcPr>
            <w:tcBorders>
              <w:bottom w:val="single" w:sz="6" w:space="0" w:color="000000"/>
              <w:top w:val="single" w:sz="12"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Upper bound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paroxytone</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oxytone</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0.93</w:t>
            </w:r>
          </w:p>
        </w:tc>
      </w:tr>
      <w:tr>
        <w:trPr>
          <w:cantSplit/>
          <w:trHeight w:val="360" w:hRule="auto"/>
        </w:trPr>
        <w:tc>
          <w:tcPr>
            <w:tcBorders>
              <w:bottom w:val="single" w:sz="12" w:space="0" w:color="000000"/>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bottom w:val="single" w:sz="12"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bottom w:val="single" w:sz="12"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bottom w:val="single" w:sz="12"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0.86</w:t>
            </w:r>
          </w:p>
        </w:tc>
        <w:tc>
          <w:tcPr>
            <w:tcBorders>
              <w:bottom w:val="single" w:sz="12"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0.83</w:t>
            </w:r>
          </w:p>
        </w:tc>
        <w:tc>
          <w:tcPr>
            <w:tcBorders>
              <w:bottom w:val="single" w:sz="12"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0.89</w:t>
            </w:r>
          </w:p>
        </w:tc>
      </w:tr>
    </w:tbl>
    <w:p>
      <w:pPr>
        <w:pStyle w:val="Textkrper"/>
      </w:pPr>
      <w:r>
        <w:rPr>
          <w:i/>
        </w:rPr>
        <w:t xml:space="preserve">Table 1.</w:t>
      </w:r>
      <w:r>
        <w:t xml:space="preserve"> </w:t>
      </w:r>
      <w:r>
        <w:t xml:space="preserve">Model estimates for probability of target fixations ±SE</w:t>
      </w:r>
      <w:r>
        <w:t xml:space="preserve"> </w:t>
      </w:r>
      <w:r>
        <w:t xml:space="preserve">at 200 ms after the last syllable onset. Verbal and visuospatial processing speed values are give for our sample’s mean (0), one standard deviation above (1, longer reaction times, slower processing speeds) and one standard deviation below (-1, shorter reaction times, faster processing speeds).</w:t>
      </w:r>
    </w:p>
    <w:p>
      <w:pPr>
        <w:pStyle w:val="Textkrper"/>
      </w:pPr>
      <w:r>
        <w:t xml:space="preserve">We kept the linear (</w:t>
      </w:r>
      <w:r>
        <w:t xml:space="preserve">γ</w:t>
      </w:r>
      <w:r>
        <w:rPr>
          <w:vertAlign w:val="subscript"/>
        </w:rPr>
        <w:t xml:space="preserve">10</w:t>
      </w:r>
      <w:r>
        <w:t xml:space="preserve"> = 2.55; SE = 0.21;</w:t>
      </w:r>
      <w:r>
        <w:t xml:space="preserve"> </w:t>
      </w:r>
      <w:r>
        <w:rPr>
          <w:i/>
        </w:rPr>
        <w:t xml:space="preserve">t</w:t>
      </w:r>
      <w:r>
        <w:t xml:space="preserve"> = 12.09;</w:t>
      </w:r>
      <w:r>
        <w:t xml:space="preserve"> </w:t>
      </w:r>
      <w:r>
        <w:rPr>
          <w:i/>
        </w:rPr>
        <w:t xml:space="preserve">p</w:t>
      </w:r>
      <w:r>
        <w:t xml:space="preserve"> &lt; .001) and quadratic (</w:t>
      </w:r>
      <w:r>
        <w:t xml:space="preserve">γ</w:t>
      </w:r>
      <w:r>
        <w:rPr>
          <w:vertAlign w:val="subscript"/>
        </w:rPr>
        <w:t xml:space="preserve">20</w:t>
      </w:r>
      <w:r>
        <w:t xml:space="preserve"> = 0.47; SE = 0.17;</w:t>
      </w:r>
      <w:r>
        <w:t xml:space="preserve"> </w:t>
      </w:r>
      <w:r>
        <w:rPr>
          <w:i/>
        </w:rPr>
        <w:t xml:space="preserve">t</w:t>
      </w:r>
      <w:r>
        <w:t xml:space="preserve"> = 2.76;</w:t>
      </w:r>
      <w:r>
        <w:t xml:space="preserve"> </w:t>
      </w:r>
      <w:r>
        <w:rPr>
          <w:i/>
        </w:rPr>
        <w:t xml:space="preserve">p</w:t>
      </w:r>
      <w:r>
        <w:t xml:space="preserve"> = .006) polynomial time terms a they improved the fit.</w:t>
      </w:r>
      <w:r>
        <w:t xml:space="preserve"> </w:t>
      </w:r>
      <w:r>
        <w:t xml:space="preserve">There was a main effect of visuospatial processing speed on the linear term (</w:t>
      </w:r>
      <w:r>
        <w:t xml:space="preserve"> chi</w:t>
      </w:r>
      <w:r>
        <w:rPr>
          <w:vertAlign w:val="superscript"/>
        </w:rPr>
        <w:t xml:space="preserve">2</w:t>
      </w:r>
      <w:r>
        <w:t xml:space="preserve">;</w:t>
      </w:r>
      <w:r>
        <w:t xml:space="preserve"> (1) = 7.27,</w:t>
      </w:r>
      <w:r>
        <w:t xml:space="preserve"> </w:t>
      </w:r>
      <w:r>
        <w:rPr>
          <w:i/>
        </w:rPr>
        <w:t xml:space="preserve">p</w:t>
      </w:r>
      <w:r>
        <w:t xml:space="preserve"> </w:t>
      </w:r>
      <w:r>
        <w:t xml:space="preserve">= 0.007), indicating that those participants with longer reaction times predicted more slowly, represented by the flatter dotted lines in Figure 4 (</w:t>
      </w:r>
      <w:r>
        <w:t xml:space="preserve">γ</w:t>
      </w:r>
      <w:r>
        <w:rPr>
          <w:vertAlign w:val="subscript"/>
        </w:rPr>
        <w:t xml:space="preserve">11</w:t>
      </w:r>
      <w:r>
        <w:t xml:space="preserve"> = −0.46; SE = 0.18;</w:t>
      </w:r>
      <w:r>
        <w:t xml:space="preserve"> </w:t>
      </w:r>
      <w:r>
        <w:rPr>
          <w:i/>
        </w:rPr>
        <w:t xml:space="preserve">t</w:t>
      </w:r>
      <w:r>
        <w:t xml:space="preserve"> = −2.51;</w:t>
      </w:r>
      <w:r>
        <w:t xml:space="preserve"> </w:t>
      </w:r>
      <w:r>
        <w:rPr>
          <w:i/>
        </w:rPr>
        <w:t xml:space="preserve">p</w:t>
      </w:r>
      <w:r>
        <w:t xml:space="preserve"> = .012).</w:t>
      </w:r>
      <w:r>
        <w:t xml:space="preserve"> </w:t>
      </w:r>
      <w:r>
        <w:t xml:space="preserve">An interaction between visuospatial processing speed and stress on the quadratic time term (</w:t>
      </w:r>
      <w:r>
        <w:t xml:space="preserve"> chi</w:t>
      </w:r>
      <w:r>
        <w:rPr>
          <w:vertAlign w:val="superscript"/>
        </w:rPr>
        <w:t xml:space="preserve">2</w:t>
      </w:r>
      <w:r>
        <w:t xml:space="preserve">;</w:t>
      </w:r>
      <w:r>
        <w:t xml:space="preserve"> (1) = 5.63,</w:t>
      </w:r>
      <w:r>
        <w:t xml:space="preserve"> </w:t>
      </w:r>
      <w:r>
        <w:rPr>
          <w:i/>
        </w:rPr>
        <w:t xml:space="preserve">p</w:t>
      </w:r>
      <w:r>
        <w:t xml:space="preserve"> </w:t>
      </w:r>
      <w:r>
        <w:t xml:space="preserve">= 0.018), revealed that the visuospatial processing speed effects were stronger in the paroxytone/present tense condition (</w:t>
      </w:r>
      <w:r>
        <w:t xml:space="preserve">γ</w:t>
      </w:r>
      <w:r>
        <w:rPr>
          <w:vertAlign w:val="subscript"/>
        </w:rPr>
        <w:t xml:space="preserve">22</w:t>
      </w:r>
      <w:r>
        <w:t xml:space="preserve"> = −0.35; SE = 0.15;</w:t>
      </w:r>
      <w:r>
        <w:t xml:space="preserve"> </w:t>
      </w:r>
      <w:r>
        <w:rPr>
          <w:i/>
        </w:rPr>
        <w:t xml:space="preserve">t</w:t>
      </w:r>
      <w:r>
        <w:t xml:space="preserve"> = −2.41;</w:t>
      </w:r>
      <w:r>
        <w:t xml:space="preserve"> </w:t>
      </w:r>
      <w:r>
        <w:rPr>
          <w:i/>
        </w:rPr>
        <w:t xml:space="preserve">p</w:t>
      </w:r>
      <w:r>
        <w:t xml:space="preserve"> = .016).</w:t>
      </w:r>
      <w:r>
        <w:t xml:space="preserve"> </w:t>
      </w:r>
      <w:r>
        <w:t xml:space="preserve">There was a triple interaction between stress and verbal and visuospatial processing speeds on the linear term (</w:t>
      </w:r>
      <w:r>
        <w:t xml:space="preserve"> chi</w:t>
      </w:r>
      <w:r>
        <w:rPr>
          <w:vertAlign w:val="superscript"/>
        </w:rPr>
        <w:t xml:space="preserve">2</w:t>
      </w:r>
      <w:r>
        <w:t xml:space="preserve">;</w:t>
      </w:r>
      <w:r>
        <w:t xml:space="preserve"> (1) = 6.17,</w:t>
      </w:r>
      <w:r>
        <w:t xml:space="preserve"> </w:t>
      </w:r>
      <w:r>
        <w:rPr>
          <w:i/>
        </w:rPr>
        <w:t xml:space="preserve">p</w:t>
      </w:r>
      <w:r>
        <w:t xml:space="preserve"> </w:t>
      </w:r>
      <w:r>
        <w:t xml:space="preserve">= 0.013).</w:t>
      </w:r>
      <w:r>
        <w:t xml:space="preserve"> </w:t>
      </w:r>
      <w:r>
        <w:t xml:space="preserve">This interaction further informs us that when participants had faster verbal processing speed but slower visuospatial one, they were more slowly in verbal prediction rate in paroxytones, but oxytones were negatively affected mostly when both processing speeds were slow (</w:t>
      </w:r>
      <w:r>
        <w:t xml:space="preserve">γ</w:t>
      </w:r>
      <w:r>
        <w:rPr>
          <w:vertAlign w:val="subscript"/>
        </w:rPr>
        <w:t xml:space="preserve">13</w:t>
      </w:r>
      <w:r>
        <w:t xml:space="preserve"> = −0.34; SE = 0.14;</w:t>
      </w:r>
      <w:r>
        <w:t xml:space="preserve"> </w:t>
      </w:r>
      <w:r>
        <w:rPr>
          <w:i/>
        </w:rPr>
        <w:t xml:space="preserve">t</w:t>
      </w:r>
      <w:r>
        <w:t xml:space="preserve"> = −2.49;</w:t>
      </w:r>
      <w:r>
        <w:t xml:space="preserve"> </w:t>
      </w:r>
      <w:r>
        <w:rPr>
          <w:i/>
        </w:rPr>
        <w:t xml:space="preserve">p</w:t>
      </w:r>
      <w:r>
        <w:t xml:space="preserve"> = .013) (see Figure 4).</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rPr>
                <w:i/>
              </w:rPr>
              <w:t xml:space="preserve">t</w:t>
            </w:r>
          </w:p>
        </w:tc>
        <w:tc>
          <w:tcPr>
            <w:tcBorders>
              <w:bottom w:val="single"/>
            </w:tcBorders>
            <w:vAlign w:val="bottom"/>
          </w:tcPr>
          <w:p>
            <w:pPr>
              <w:pStyle w:val="Compact"/>
              <w:jc w:val="right"/>
            </w:pPr>
            <w:r>
              <w:rPr>
                <w:i/>
              </w:rPr>
              <w:t xml:space="preserve">p</w:t>
            </w:r>
          </w:p>
        </w:tc>
      </w:tr>
      <w:tr>
        <w:tc>
          <w:p>
            <w:pPr>
              <w:pStyle w:val="Compact"/>
              <w:jc w:val="left"/>
            </w:pPr>
            <w:r>
              <w:t xml:space="preserve">Intercept (</w:t>
            </w:r>
            <w:r>
              <w:t xml:space="preserve">γ</w:t>
            </w:r>
            <w:r>
              <w:rPr>
                <w:vertAlign w:val="subscript"/>
              </w:rPr>
              <w:t xml:space="preserve">00</w:t>
            </w:r>
            <w:r>
              <w:t xml:space="preserve">)</w:t>
            </w:r>
          </w:p>
        </w:tc>
        <w:tc>
          <w:p>
            <w:pPr>
              <w:pStyle w:val="Compact"/>
              <w:jc w:val="right"/>
            </w:pPr>
            <w:r>
              <w:t xml:space="preserve">0.802</w:t>
            </w:r>
          </w:p>
        </w:tc>
        <w:tc>
          <w:p>
            <w:pPr>
              <w:pStyle w:val="Compact"/>
              <w:jc w:val="right"/>
            </w:pPr>
            <w:r>
              <w:t xml:space="preserve">0.157</w:t>
            </w:r>
          </w:p>
        </w:tc>
        <w:tc>
          <w:p>
            <w:pPr>
              <w:pStyle w:val="Compact"/>
              <w:jc w:val="right"/>
            </w:pPr>
            <w:r>
              <w:t xml:space="preserve">5.123</w:t>
            </w:r>
          </w:p>
        </w:tc>
        <w:tc>
          <w:p>
            <w:pPr>
              <w:pStyle w:val="Compact"/>
              <w:jc w:val="right"/>
            </w:pPr>
            <w:r>
              <w:t xml:space="preserve">&lt; .001</w:t>
            </w:r>
          </w:p>
        </w:tc>
      </w:tr>
      <w:tr>
        <w:tc>
          <w:p>
            <w:pPr>
              <w:pStyle w:val="Compact"/>
              <w:jc w:val="left"/>
            </w:pPr>
            <w:r>
              <w:t xml:space="preserve">Time</w:t>
            </w:r>
            <w:r>
              <w:rPr>
                <w:vertAlign w:val="superscript"/>
              </w:rPr>
              <w:t xml:space="preserve">1</w:t>
            </w:r>
            <w:r>
              <w:t xml:space="preserve"> </w:t>
            </w:r>
            <w:r>
              <w:t xml:space="preserve">(</w:t>
            </w:r>
            <w:r>
              <w:t xml:space="preserve">γ</w:t>
            </w:r>
            <w:r>
              <w:rPr>
                <w:vertAlign w:val="subscript"/>
              </w:rPr>
              <w:t xml:space="preserve">10</w:t>
            </w:r>
            <w:r>
              <w:t xml:space="preserve">)</w:t>
            </w:r>
          </w:p>
        </w:tc>
        <w:tc>
          <w:p>
            <w:pPr>
              <w:pStyle w:val="Compact"/>
              <w:jc w:val="right"/>
            </w:pPr>
            <w:r>
              <w:t xml:space="preserve">2.554</w:t>
            </w:r>
          </w:p>
        </w:tc>
        <w:tc>
          <w:p>
            <w:pPr>
              <w:pStyle w:val="Compact"/>
              <w:jc w:val="right"/>
            </w:pPr>
            <w:r>
              <w:t xml:space="preserve">0.211</w:t>
            </w:r>
          </w:p>
        </w:tc>
        <w:tc>
          <w:p>
            <w:pPr>
              <w:pStyle w:val="Compact"/>
              <w:jc w:val="right"/>
            </w:pPr>
            <w:r>
              <w:t xml:space="preserve">12.089</w:t>
            </w:r>
          </w:p>
        </w:tc>
        <w:tc>
          <w:p>
            <w:pPr>
              <w:pStyle w:val="Compact"/>
              <w:jc w:val="right"/>
            </w:pPr>
            <w:r>
              <w:t xml:space="preserve">&lt; .001</w:t>
            </w:r>
          </w:p>
        </w:tc>
      </w:tr>
      <w:tr>
        <w:tc>
          <w:p>
            <w:pPr>
              <w:pStyle w:val="Compact"/>
              <w:jc w:val="left"/>
            </w:pPr>
            <w:r>
              <w:t xml:space="preserve">Time</w:t>
            </w:r>
            <w:r>
              <w:rPr>
                <w:vertAlign w:val="superscript"/>
              </w:rPr>
              <w:t xml:space="preserve">2</w:t>
            </w:r>
            <w:r>
              <w:t xml:space="preserve"> </w:t>
            </w:r>
            <w:r>
              <w:t xml:space="preserve">(</w:t>
            </w:r>
            <w:r>
              <w:t xml:space="preserve">γ</w:t>
            </w:r>
            <w:r>
              <w:rPr>
                <w:vertAlign w:val="subscript"/>
              </w:rPr>
              <w:t xml:space="preserve">20</w:t>
            </w:r>
            <w:r>
              <w:t xml:space="preserve">)</w:t>
            </w:r>
          </w:p>
        </w:tc>
        <w:tc>
          <w:p>
            <w:pPr>
              <w:pStyle w:val="Compact"/>
              <w:jc w:val="right"/>
            </w:pPr>
            <w:r>
              <w:t xml:space="preserve">0.467</w:t>
            </w:r>
          </w:p>
        </w:tc>
        <w:tc>
          <w:p>
            <w:pPr>
              <w:pStyle w:val="Compact"/>
              <w:jc w:val="right"/>
            </w:pPr>
            <w:r>
              <w:t xml:space="preserve">0.169</w:t>
            </w:r>
          </w:p>
        </w:tc>
        <w:tc>
          <w:p>
            <w:pPr>
              <w:pStyle w:val="Compact"/>
              <w:jc w:val="right"/>
            </w:pPr>
            <w:r>
              <w:t xml:space="preserve">2.759</w:t>
            </w:r>
          </w:p>
        </w:tc>
        <w:tc>
          <w:p>
            <w:pPr>
              <w:pStyle w:val="Compact"/>
              <w:jc w:val="right"/>
            </w:pPr>
            <w:r>
              <w:t xml:space="preserve">.006</w:t>
            </w:r>
          </w:p>
        </w:tc>
      </w:tr>
      <w:tr>
        <w:tc>
          <w:p>
            <w:pPr>
              <w:pStyle w:val="Compact"/>
              <w:jc w:val="left"/>
            </w:pPr>
            <w:r>
              <w:t xml:space="preserve">corsi_rt (</w:t>
            </w:r>
            <w:r>
              <w:t xml:space="preserve">γ</w:t>
            </w:r>
            <w:r>
              <w:rPr>
                <w:vertAlign w:val="subscript"/>
              </w:rPr>
              <w:t xml:space="preserve">01</w:t>
            </w:r>
            <w:r>
              <w:t xml:space="preserve">)</w:t>
            </w:r>
          </w:p>
        </w:tc>
        <w:tc>
          <w:p>
            <w:pPr>
              <w:pStyle w:val="Compact"/>
              <w:jc w:val="right"/>
            </w:pPr>
            <w:r>
              <w:t xml:space="preserve">−0.157</w:t>
            </w:r>
          </w:p>
        </w:tc>
        <w:tc>
          <w:p>
            <w:pPr>
              <w:pStyle w:val="Compact"/>
              <w:jc w:val="right"/>
            </w:pPr>
            <w:r>
              <w:t xml:space="preserve">0.086</w:t>
            </w:r>
          </w:p>
        </w:tc>
        <w:tc>
          <w:p>
            <w:pPr>
              <w:pStyle w:val="Compact"/>
              <w:jc w:val="right"/>
            </w:pPr>
            <w:r>
              <w:t xml:space="preserve">−1.813</w:t>
            </w:r>
          </w:p>
        </w:tc>
        <w:tc>
          <w:p>
            <w:pPr>
              <w:pStyle w:val="Compact"/>
              <w:jc w:val="right"/>
            </w:pPr>
            <w:r>
              <w:t xml:space="preserve">.070</w:t>
            </w:r>
          </w:p>
        </w:tc>
      </w:tr>
      <w:tr>
        <w:tc>
          <w:p>
            <w:pPr>
              <w:pStyle w:val="Compact"/>
              <w:jc w:val="left"/>
            </w:pPr>
            <w:r>
              <w:t xml:space="preserve">Time</w:t>
            </w:r>
            <w:r>
              <w:rPr>
                <w:vertAlign w:val="superscript"/>
              </w:rPr>
              <w:t xml:space="preserve">1</w:t>
            </w:r>
            <w:r>
              <w:t xml:space="preserve"> </w:t>
            </w:r>
            <w:r>
              <w:t xml:space="preserve">× corsi_rt (</w:t>
            </w:r>
            <w:r>
              <w:t xml:space="preserve">γ</w:t>
            </w:r>
            <w:r>
              <w:rPr>
                <w:vertAlign w:val="subscript"/>
              </w:rPr>
              <w:t xml:space="preserve">11</w:t>
            </w:r>
            <w:r>
              <w:t xml:space="preserve">)</w:t>
            </w:r>
          </w:p>
        </w:tc>
        <w:tc>
          <w:p>
            <w:pPr>
              <w:pStyle w:val="Compact"/>
              <w:jc w:val="right"/>
            </w:pPr>
            <w:r>
              <w:t xml:space="preserve">−0.460</w:t>
            </w:r>
          </w:p>
        </w:tc>
        <w:tc>
          <w:p>
            <w:pPr>
              <w:pStyle w:val="Compact"/>
              <w:jc w:val="right"/>
            </w:pPr>
            <w:r>
              <w:t xml:space="preserve">0.183</w:t>
            </w:r>
          </w:p>
        </w:tc>
        <w:tc>
          <w:p>
            <w:pPr>
              <w:pStyle w:val="Compact"/>
              <w:jc w:val="right"/>
            </w:pPr>
            <w:r>
              <w:t xml:space="preserve">−2.513</w:t>
            </w:r>
          </w:p>
        </w:tc>
        <w:tc>
          <w:p>
            <w:pPr>
              <w:pStyle w:val="Compact"/>
              <w:jc w:val="right"/>
            </w:pPr>
            <w:r>
              <w:t xml:space="preserve">.012</w:t>
            </w:r>
          </w:p>
        </w:tc>
      </w:tr>
      <w:tr>
        <w:tc>
          <w:p>
            <w:pPr>
              <w:pStyle w:val="Compact"/>
              <w:jc w:val="left"/>
            </w:pPr>
            <w:r>
              <w:t xml:space="preserve">corsi_rt × stress_sum (</w:t>
            </w:r>
            <w:r>
              <w:t xml:space="preserve">γ</w:t>
            </w:r>
            <w:r>
              <w:rPr>
                <w:vertAlign w:val="subscript"/>
              </w:rPr>
              <w:t xml:space="preserve">02</w:t>
            </w:r>
            <w:r>
              <w:t xml:space="preserve">)</w:t>
            </w:r>
          </w:p>
        </w:tc>
        <w:tc>
          <w:p>
            <w:pPr>
              <w:pStyle w:val="Compact"/>
              <w:jc w:val="right"/>
            </w:pPr>
            <w:r>
              <w:t xml:space="preserve">0.061</w:t>
            </w:r>
          </w:p>
        </w:tc>
        <w:tc>
          <w:p>
            <w:pPr>
              <w:pStyle w:val="Compact"/>
              <w:jc w:val="right"/>
            </w:pPr>
            <w:r>
              <w:t xml:space="preserve">0.073</w:t>
            </w:r>
          </w:p>
        </w:tc>
        <w:tc>
          <w:p>
            <w:pPr>
              <w:pStyle w:val="Compact"/>
              <w:jc w:val="right"/>
            </w:pPr>
            <w:r>
              <w:t xml:space="preserve">0.840</w:t>
            </w:r>
          </w:p>
        </w:tc>
        <w:tc>
          <w:p>
            <w:pPr>
              <w:pStyle w:val="Compact"/>
              <w:jc w:val="right"/>
            </w:pPr>
            <w:r>
              <w:t xml:space="preserve">.401</w:t>
            </w:r>
          </w:p>
        </w:tc>
      </w:tr>
      <w:tr>
        <w:tc>
          <w:p>
            <w:pPr>
              <w:pStyle w:val="Compact"/>
              <w:jc w:val="left"/>
            </w:pPr>
            <w:r>
              <w:t xml:space="preserve">Time</w:t>
            </w:r>
            <w:r>
              <w:rPr>
                <w:vertAlign w:val="superscript"/>
              </w:rPr>
              <w:t xml:space="preserve">1</w:t>
            </w:r>
            <w:r>
              <w:t xml:space="preserve"> </w:t>
            </w:r>
            <w:r>
              <w:t xml:space="preserve">× corsi_rt:stress_sum (</w:t>
            </w:r>
            <w:r>
              <w:t xml:space="preserve">γ</w:t>
            </w:r>
            <w:r>
              <w:rPr>
                <w:vertAlign w:val="subscript"/>
              </w:rPr>
              <w:t xml:space="preserve">12</w:t>
            </w:r>
            <w:r>
              <w:t xml:space="preserve">)</w:t>
            </w:r>
          </w:p>
        </w:tc>
        <w:tc>
          <w:p>
            <w:pPr>
              <w:pStyle w:val="Compact"/>
              <w:jc w:val="right"/>
            </w:pPr>
            <w:r>
              <w:t xml:space="preserve">0.357</w:t>
            </w:r>
          </w:p>
        </w:tc>
        <w:tc>
          <w:p>
            <w:pPr>
              <w:pStyle w:val="Compact"/>
              <w:jc w:val="right"/>
            </w:pPr>
            <w:r>
              <w:t xml:space="preserve">0.193</w:t>
            </w:r>
          </w:p>
        </w:tc>
        <w:tc>
          <w:p>
            <w:pPr>
              <w:pStyle w:val="Compact"/>
              <w:jc w:val="right"/>
            </w:pPr>
            <w:r>
              <w:t xml:space="preserve">1.846</w:t>
            </w:r>
          </w:p>
        </w:tc>
        <w:tc>
          <w:p>
            <w:pPr>
              <w:pStyle w:val="Compact"/>
              <w:jc w:val="right"/>
            </w:pPr>
            <w:r>
              <w:t xml:space="preserve">.065</w:t>
            </w:r>
          </w:p>
        </w:tc>
      </w:tr>
      <w:tr>
        <w:tc>
          <w:p>
            <w:pPr>
              <w:pStyle w:val="Compact"/>
              <w:jc w:val="left"/>
            </w:pPr>
            <w:r>
              <w:t xml:space="preserve">Time</w:t>
            </w:r>
            <w:r>
              <w:rPr>
                <w:vertAlign w:val="superscript"/>
              </w:rPr>
              <w:t xml:space="preserve">2</w:t>
            </w:r>
            <w:r>
              <w:t xml:space="preserve"> </w:t>
            </w:r>
            <w:r>
              <w:t xml:space="preserve">× corsi_rt:stress_sum (</w:t>
            </w:r>
            <w:r>
              <w:t xml:space="preserve">γ</w:t>
            </w:r>
            <w:r>
              <w:rPr>
                <w:vertAlign w:val="subscript"/>
              </w:rPr>
              <w:t xml:space="preserve">22</w:t>
            </w:r>
            <w:r>
              <w:t xml:space="preserve">)</w:t>
            </w:r>
          </w:p>
        </w:tc>
        <w:tc>
          <w:p>
            <w:pPr>
              <w:pStyle w:val="Compact"/>
              <w:jc w:val="right"/>
            </w:pPr>
            <w:r>
              <w:t xml:space="preserve">−0.354</w:t>
            </w:r>
          </w:p>
        </w:tc>
        <w:tc>
          <w:p>
            <w:pPr>
              <w:pStyle w:val="Compact"/>
              <w:jc w:val="right"/>
            </w:pPr>
            <w:r>
              <w:t xml:space="preserve">0.147</w:t>
            </w:r>
          </w:p>
        </w:tc>
        <w:tc>
          <w:p>
            <w:pPr>
              <w:pStyle w:val="Compact"/>
              <w:jc w:val="right"/>
            </w:pPr>
            <w:r>
              <w:t xml:space="preserve">−2.415</w:t>
            </w:r>
          </w:p>
        </w:tc>
        <w:tc>
          <w:p>
            <w:pPr>
              <w:pStyle w:val="Compact"/>
              <w:jc w:val="right"/>
            </w:pPr>
            <w:r>
              <w:t xml:space="preserve">.016</w:t>
            </w:r>
          </w:p>
        </w:tc>
      </w:tr>
      <w:tr>
        <w:tc>
          <w:p>
            <w:pPr>
              <w:pStyle w:val="Compact"/>
              <w:jc w:val="left"/>
            </w:pPr>
            <w:r>
              <w:t xml:space="preserve">corsi_rt × stress_sum:ospan_rt (</w:t>
            </w:r>
            <w:r>
              <w:t xml:space="preserve">γ</w:t>
            </w:r>
            <w:r>
              <w:rPr>
                <w:vertAlign w:val="subscript"/>
              </w:rPr>
              <w:t xml:space="preserve">03</w:t>
            </w:r>
            <w:r>
              <w:t xml:space="preserve">)</w:t>
            </w:r>
          </w:p>
        </w:tc>
        <w:tc>
          <w:p>
            <w:pPr>
              <w:pStyle w:val="Compact"/>
              <w:jc w:val="right"/>
            </w:pPr>
            <w:r>
              <w:t xml:space="preserve">−0.039</w:t>
            </w:r>
          </w:p>
        </w:tc>
        <w:tc>
          <w:p>
            <w:pPr>
              <w:pStyle w:val="Compact"/>
              <w:jc w:val="right"/>
            </w:pPr>
            <w:r>
              <w:t xml:space="preserve">0.046</w:t>
            </w:r>
          </w:p>
        </w:tc>
        <w:tc>
          <w:p>
            <w:pPr>
              <w:pStyle w:val="Compact"/>
              <w:jc w:val="right"/>
            </w:pPr>
            <w:r>
              <w:t xml:space="preserve">−0.844</w:t>
            </w:r>
          </w:p>
        </w:tc>
        <w:tc>
          <w:p>
            <w:pPr>
              <w:pStyle w:val="Compact"/>
              <w:jc w:val="right"/>
            </w:pPr>
            <w:r>
              <w:t xml:space="preserve">.399</w:t>
            </w:r>
          </w:p>
        </w:tc>
      </w:tr>
      <w:tr>
        <w:tc>
          <w:p>
            <w:pPr>
              <w:pStyle w:val="Compact"/>
              <w:jc w:val="left"/>
            </w:pPr>
            <w:r>
              <w:t xml:space="preserve">Time</w:t>
            </w:r>
            <w:r>
              <w:rPr>
                <w:vertAlign w:val="superscript"/>
              </w:rPr>
              <w:t xml:space="preserve">1</w:t>
            </w:r>
            <w:r>
              <w:t xml:space="preserve"> </w:t>
            </w:r>
            <w:r>
              <w:t xml:space="preserve">× corsi_rt:stress_sum:ospan_rt (</w:t>
            </w:r>
            <w:r>
              <w:t xml:space="preserve">γ</w:t>
            </w:r>
            <w:r>
              <w:rPr>
                <w:vertAlign w:val="subscript"/>
              </w:rPr>
              <w:t xml:space="preserve">13</w:t>
            </w:r>
            <w:r>
              <w:t xml:space="preserve">)</w:t>
            </w:r>
          </w:p>
        </w:tc>
        <w:tc>
          <w:p>
            <w:pPr>
              <w:pStyle w:val="Compact"/>
              <w:jc w:val="right"/>
            </w:pPr>
            <w:r>
              <w:t xml:space="preserve">−0.342</w:t>
            </w:r>
          </w:p>
        </w:tc>
        <w:tc>
          <w:p>
            <w:pPr>
              <w:pStyle w:val="Compact"/>
              <w:jc w:val="right"/>
            </w:pPr>
            <w:r>
              <w:t xml:space="preserve">0.138</w:t>
            </w:r>
          </w:p>
        </w:tc>
        <w:tc>
          <w:p>
            <w:pPr>
              <w:pStyle w:val="Compact"/>
              <w:jc w:val="right"/>
            </w:pPr>
            <w:r>
              <w:t xml:space="preserve">−2.488</w:t>
            </w:r>
          </w:p>
        </w:tc>
        <w:tc>
          <w:p>
            <w:pPr>
              <w:pStyle w:val="Compact"/>
              <w:jc w:val="right"/>
            </w:pPr>
            <w:r>
              <w:t xml:space="preserve">.013</w:t>
            </w:r>
          </w:p>
        </w:tc>
      </w:tr>
    </w:tbl>
    <w:p>
      <w:pPr>
        <w:pStyle w:val="CaptionedFigure"/>
      </w:pPr>
      <w:r>
        <w:drawing>
          <wp:inline>
            <wp:extent cx="5969000" cy="3979333"/>
            <wp:effectExtent b="0" l="0" r="0" t="0"/>
            <wp:docPr descr="Figure 2:.  4. Growth curve estimates of target fixations as a function of verbal processing speed for L1 Spanish speakers according to stress pattern during the analysis window. Symbols and lines represent model estimates, and the transparent ribbons represents ±SE. Empirical logit values on y-axis correspond to proportions of 0.27, 0.50, 0.73. 0.88, and 0.95. The horizontal dotted line represents the 50% probability of fixating on the target. The vertical dotted line indicates 200 ms after the offset of the first syllable of the verb." title="" id="1" name="Picture"/>
            <a:graphic>
              <a:graphicData uri="http://schemas.openxmlformats.org/drawingml/2006/picture">
                <pic:pic>
                  <pic:nvPicPr>
                    <pic:cNvPr descr="/Users/lfa/Desktop/Dissertation/figs/vision/gca/cont_speed_verb/mon_gca_ospan_zero0.png" id="0" name="Picture"/>
                    <pic:cNvPicPr>
                      <a:picLocks noChangeArrowheads="1" noChangeAspect="1"/>
                    </pic:cNvPicPr>
                  </pic:nvPicPr>
                  <pic:blipFill>
                    <a:blip r:embed="rId21"/>
                    <a:stretch>
                      <a:fillRect/>
                    </a:stretch>
                  </pic:blipFill>
                  <pic:spPr bwMode="auto">
                    <a:xfrm>
                      <a:off x="0" y="0"/>
                      <a:ext cx="5969000" cy="3979333"/>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w:t>
      </w:r>
      <w:r>
        <w:t xml:space="preserve">.  4. Growth curve estimates of target fixations as a function of verbal processing speed for L1 Spanish speakers according to stress pattern during the analysis window. Symbols and lines represent model estimates, and the transparent ribbons represents ±SE. Empirical logit values on y-axis correspond to proportions of 0.27, 0.50, 0.73. 0.88, and 0.95. The horizontal dotted line represents the 50% probability of fixating on the target. The vertical dotted line indicates 200 ms after the offset of the first syllable of the verb.</w:t>
      </w:r>
    </w:p>
    <w:p>
      <w:pPr>
        <w:pStyle w:val="Textkrper"/>
      </w:pPr>
      <w:r>
        <w:t xml:space="preserve">Moving on to visuospatial prediction, a generalized linear mixed model run on the visuospatial prediction data revealed that the parameters for direction and speed were both significant.</w:t>
      </w:r>
      <w:r>
        <w:t xml:space="preserve"> </w:t>
      </w:r>
      <w:r>
        <w:t xml:space="preserve">Participants pressed closer to the supposed reappearance ms in trials in which the car moved from left to right, in comparison to trials from right to left (</w:t>
      </w:r>
      <w:r>
        <w:t xml:space="preserve"> beta;</w:t>
      </w:r>
      <w:r>
        <w:t xml:space="preserve"> = 0.01, SE = 0.01,</w:t>
      </w:r>
      <w:r>
        <w:t xml:space="preserve"> </w:t>
      </w:r>
      <w:r>
        <w:rPr>
          <w:i/>
        </w:rPr>
        <w:t xml:space="preserve">t</w:t>
      </w:r>
      <w:r>
        <w:t xml:space="preserve"> </w:t>
      </w:r>
      <w:r>
        <w:t xml:space="preserve">= 2.54,</w:t>
      </w:r>
      <w:r>
        <w:t xml:space="preserve"> </w:t>
      </w:r>
      <w:r>
        <w:rPr>
          <w:i/>
        </w:rPr>
        <w:t xml:space="preserve">p</w:t>
      </w:r>
      <w:r>
        <w:t xml:space="preserve"> </w:t>
      </w:r>
      <w:r>
        <w:t xml:space="preserve">= 0.011).</w:t>
      </w:r>
      <w:r>
        <w:t xml:space="preserve"> </w:t>
      </w:r>
      <w:r>
        <w:t xml:space="preserve">In slow conditions participants were more accurate than in medium (</w:t>
      </w:r>
      <w:r>
        <w:t xml:space="preserve"> beta;</w:t>
      </w:r>
      <w:r>
        <w:t xml:space="preserve"> = 0.07, SE = 0.01,</w:t>
      </w:r>
      <w:r>
        <w:t xml:space="preserve"> </w:t>
      </w:r>
      <w:r>
        <w:rPr>
          <w:i/>
        </w:rPr>
        <w:t xml:space="preserve">t</w:t>
      </w:r>
      <w:r>
        <w:t xml:space="preserve"> </w:t>
      </w:r>
      <w:r>
        <w:t xml:space="preserve">= 5.19,</w:t>
      </w:r>
      <w:r>
        <w:t xml:space="preserve"> </w:t>
      </w:r>
      <w:r>
        <w:rPr>
          <w:i/>
        </w:rPr>
        <w:t xml:space="preserve">p</w:t>
      </w:r>
      <w:r>
        <w:t xml:space="preserve">&lt; 0.001) and fast speed conditions (</w:t>
      </w:r>
      <w:r>
        <w:t xml:space="preserve"> beta;</w:t>
      </w:r>
      <w:r>
        <w:t xml:space="preserve"> = 0.04, SE = 0.01,</w:t>
      </w:r>
      <w:r>
        <w:t xml:space="preserve"> </w:t>
      </w:r>
      <w:r>
        <w:rPr>
          <w:i/>
        </w:rPr>
        <w:t xml:space="preserve">t</w:t>
      </w:r>
      <w:r>
        <w:t xml:space="preserve"> </w:t>
      </w:r>
      <w:r>
        <w:t xml:space="preserve">= 2.92,</w:t>
      </w:r>
      <w:r>
        <w:t xml:space="preserve"> </w:t>
      </w:r>
      <w:r>
        <w:rPr>
          <w:i/>
        </w:rPr>
        <w:t xml:space="preserve">p</w:t>
      </w:r>
      <w:r>
        <w:t xml:space="preserve"> </w:t>
      </w:r>
      <w:r>
        <w:t xml:space="preserve">= 0.004)</w:t>
      </w:r>
      <w:r>
        <w:t xml:space="preserve"> </w:t>
      </w:r>
      <w:r>
        <w:t xml:space="preserve">There was also a difference between the medium and fast speed conditions (</w:t>
      </w:r>
      <w:r>
        <w:t xml:space="preserve"> beta;</w:t>
      </w:r>
      <w:r>
        <w:t xml:space="preserve"> = 0.03, SE = 0.02,</w:t>
      </w:r>
      <w:r>
        <w:t xml:space="preserve"> </w:t>
      </w:r>
      <w:r>
        <w:rPr>
          <w:i/>
        </w:rPr>
        <w:t xml:space="preserve">t</w:t>
      </w:r>
      <w:r>
        <w:t xml:space="preserve"> </w:t>
      </w:r>
      <w:r>
        <w:t xml:space="preserve">= 2.03,</w:t>
      </w:r>
      <w:r>
        <w:t xml:space="preserve"> </w:t>
      </w:r>
      <w:r>
        <w:rPr>
          <w:i/>
        </w:rPr>
        <w:t xml:space="preserve">p</w:t>
      </w:r>
      <w:r>
        <w:t xml:space="preserve"> </w:t>
      </w:r>
      <w:r>
        <w:t xml:space="preserve">= 0.042).</w:t>
      </w:r>
      <w:r>
        <w:t xml:space="preserve"> </w:t>
      </w:r>
      <w:r>
        <w:t xml:space="preserve">The GCA revealed no effects of visuospatial prediction, so its results are not reported here.</w:t>
      </w:r>
    </w:p>
    <w:bookmarkEnd w:id="22"/>
    <w:bookmarkStart w:id="24" w:name="tables"/>
    <w:p>
      <w:pPr>
        <w:pStyle w:val="berschrift1"/>
      </w:pPr>
      <w:r>
        <w:t xml:space="preserve">Tables</w:t>
      </w:r>
    </w:p>
    <w:bookmarkStart w:id="23" w:name="random-effects"/>
    <w:p>
      <w:pPr>
        <w:pStyle w:val="berschrift2"/>
      </w:pPr>
      <w:r>
        <w:t xml:space="preserve">Random effects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Variance</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Correlations</w:t>
            </w:r>
          </w:p>
        </w:tc>
      </w:tr>
      <w:tr>
        <w:tc>
          <w:p>
            <w:pPr>
              <w:pStyle w:val="Compact"/>
              <w:jc w:val="left"/>
            </w:pPr>
            <w:r>
              <w:t xml:space="preserve">Participant</w:t>
            </w:r>
          </w:p>
        </w:tc>
        <w:tc>
          <w:p>
            <w:pPr>
              <w:pStyle w:val="Compact"/>
              <w:jc w:val="left"/>
            </w:pPr>
            <w:r>
              <w:t xml:space="preserve">Intercept</w:t>
            </w:r>
          </w:p>
        </w:tc>
        <w:tc>
          <w:p>
            <w:pPr>
              <w:pStyle w:val="Compact"/>
              <w:jc w:val="right"/>
            </w:pPr>
            <w:r>
              <w:t xml:space="preserve">0.058</w:t>
            </w:r>
          </w:p>
        </w:tc>
        <w:tc>
          <w:p>
            <w:pPr>
              <w:pStyle w:val="Compact"/>
              <w:jc w:val="right"/>
            </w:pPr>
            <w:r>
              <w:t xml:space="preserve">0.242</w:t>
            </w:r>
          </w:p>
        </w:tc>
        <w:tc>
          <w:p>
            <w:pPr>
              <w:pStyle w:val="Compact"/>
              <w:jc w:val="right"/>
            </w:pPr>
            <w:r>
              <w:t xml:space="preserve">1.00</w:t>
            </w:r>
          </w:p>
        </w:tc>
      </w:tr>
      <w:tr>
        <w:tc>
          <w:p>
            <w:pPr>
              <w:pStyle w:val="Compact"/>
              <w:jc w:val="left"/>
            </w:pPr>
            <w:r>
              <w:t xml:space="preserve">Item</w:t>
            </w:r>
          </w:p>
        </w:tc>
        <w:tc>
          <w:p>
            <w:pPr>
              <w:pStyle w:val="Compact"/>
              <w:jc w:val="left"/>
            </w:pPr>
            <w:r>
              <w:t xml:space="preserve">Intercept</w:t>
            </w:r>
          </w:p>
        </w:tc>
        <w:tc>
          <w:p>
            <w:pPr>
              <w:pStyle w:val="Compact"/>
              <w:jc w:val="right"/>
            </w:pPr>
            <w:r>
              <w:t xml:space="preserve">0.498</w:t>
            </w:r>
          </w:p>
        </w:tc>
        <w:tc>
          <w:p>
            <w:pPr>
              <w:pStyle w:val="Compact"/>
              <w:jc w:val="right"/>
            </w:pPr>
            <w:r>
              <w:t xml:space="preserve">0.705</w:t>
            </w:r>
          </w:p>
        </w:tc>
        <w:tc>
          <w:p>
            <w:pPr>
              <w:pStyle w:val="Compact"/>
              <w:jc w:val="right"/>
            </w:pPr>
            <w:r>
              <w:t xml:space="preserve">1.00</w:t>
            </w:r>
          </w:p>
        </w:tc>
      </w:tr>
      <w:tr>
        <w:tc>
          <w:p>
            <w:pPr>
              <w:pStyle w:val="Compact"/>
              <w:jc w:val="left"/>
            </w:pPr>
            <w:r>
              <w:t xml:space="preserve">Residual</w:t>
            </w:r>
          </w:p>
        </w:tc>
        <w:tc>
          <w:p/>
        </w:tc>
        <w:tc>
          <w:p>
            <w:pPr>
              <w:pStyle w:val="Compact"/>
              <w:jc w:val="right"/>
            </w:pPr>
            <w:r>
              <w:t xml:space="preserve">9.068</w:t>
            </w:r>
          </w:p>
        </w:tc>
        <w:tc>
          <w:p>
            <w:pPr>
              <w:pStyle w:val="Compact"/>
              <w:jc w:val="right"/>
            </w:pPr>
            <w:r>
              <w:t xml:space="preserve">3.011</w:t>
            </w:r>
          </w:p>
        </w:tc>
        <w:tc>
          <w:p/>
        </w:tc>
      </w:tr>
    </w:tbl>
    <w:p>
      <w:pPr>
        <w:pStyle w:val="Textkrper"/>
      </w:pPr>
      <w:r>
        <w:t xml:space="preserve">Appendix 2: Growth curve model random effects</w:t>
      </w:r>
    </w:p>
    <w:bookmarkEnd w:id="23"/>
    <w:bookmarkEnd w:id="24"/>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Title</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Title</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
    <w:name w:val=""/>
    <w:basedOn w:val="BodyTex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image" Id="rId21" Target="media/rId21.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
  <cp:keywords/>
  <dcterms:created xsi:type="dcterms:W3CDTF">2021-11-01T12:51:40Z</dcterms:created>
  <dcterms:modified xsi:type="dcterms:W3CDTF">2021-11-01T12:51:40Z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classoption">
    <vt:lpwstr>man</vt:lpwstr>
  </property>
  <property fmtid="{D5CDD505-2E9C-101B-9397-08002B2CF9AE}" pid="4" name="csl">
    <vt:lpwstr>/Users/lfa/Desktop/Dissertation/packrat/lib/x86_64-apple-darwin15.6.0/3.6.1/papaja/rmd/apa6.csl</vt:lpwstr>
  </property>
  <property fmtid="{D5CDD505-2E9C-101B-9397-08002B2CF9AE}" pid="5" name="documentclass">
    <vt:lpwstr>apa6</vt:lpwstr>
  </property>
  <property fmtid="{D5CDD505-2E9C-101B-9397-08002B2CF9AE}" pid="6" name="draft">
    <vt:lpwstr>yes</vt:lpwstr>
  </property>
  <property fmtid="{D5CDD505-2E9C-101B-9397-08002B2CF9AE}" pid="7" name="figurelist">
    <vt:lpwstr>yes</vt:lpwstr>
  </property>
  <property fmtid="{D5CDD505-2E9C-101B-9397-08002B2CF9AE}" pid="8" name="floatsintext">
    <vt:lpwstr>yes</vt:lpwstr>
  </property>
  <property fmtid="{D5CDD505-2E9C-101B-9397-08002B2CF9AE}" pid="9" name="footnotelist">
    <vt:lpwstr>yes</vt:lpwstr>
  </property>
  <property fmtid="{D5CDD505-2E9C-101B-9397-08002B2CF9AE}" pid="10" name="linenumbers">
    <vt:lpwstr>yes</vt:lpwstr>
  </property>
  <property fmtid="{D5CDD505-2E9C-101B-9397-08002B2CF9AE}" pid="11" name="mask">
    <vt:lpwstr>yes</vt:lpwstr>
  </property>
  <property fmtid="{D5CDD505-2E9C-101B-9397-08002B2CF9AE}" pid="12" name="output">
    <vt:lpwstr>papaja::apa6_word</vt:lpwstr>
  </property>
  <property fmtid="{D5CDD505-2E9C-101B-9397-08002B2CF9AE}" pid="13" name="shorttitle">
    <vt:lpwstr>Title</vt:lpwstr>
  </property>
  <property fmtid="{D5CDD505-2E9C-101B-9397-08002B2CF9AE}" pid="14" name="tablelist">
    <vt:lpwstr>yes</vt:lpwstr>
  </property>
  <property fmtid="{D5CDD505-2E9C-101B-9397-08002B2CF9AE}" pid="15" name="wordcount">
    <vt:lpwstr/>
  </property>
</Properties>
</file>