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38FB4" w14:textId="77777777" w:rsidR="00841475" w:rsidRPr="00155975" w:rsidRDefault="00155975">
      <w:pPr>
        <w:rPr>
          <w:b/>
        </w:rPr>
      </w:pPr>
      <w:r w:rsidRPr="00155975">
        <w:rPr>
          <w:b/>
        </w:rPr>
        <w:t>FAQ</w:t>
      </w:r>
    </w:p>
    <w:p w14:paraId="5D7CC687" w14:textId="77777777" w:rsidR="00155975" w:rsidRDefault="00155975"/>
    <w:p w14:paraId="49BD816C" w14:textId="355BA159" w:rsidR="00D22414" w:rsidRDefault="00D22414" w:rsidP="00155975">
      <w:pPr>
        <w:pStyle w:val="ListParagraph"/>
        <w:numPr>
          <w:ilvl w:val="0"/>
          <w:numId w:val="1"/>
        </w:numPr>
      </w:pPr>
      <w:r>
        <w:t>Why is this the right model? (Susanto’s question, Peter’s response Notes 14, p. 76)</w:t>
      </w:r>
    </w:p>
    <w:p w14:paraId="16D91697" w14:textId="0ADA782C" w:rsidR="00155975" w:rsidRDefault="00155975" w:rsidP="00155975">
      <w:pPr>
        <w:pStyle w:val="ListParagraph"/>
        <w:numPr>
          <w:ilvl w:val="0"/>
          <w:numId w:val="1"/>
        </w:numPr>
      </w:pPr>
      <w:r>
        <w:t>Why adaptive learning?</w:t>
      </w:r>
      <w:r w:rsidR="00F50657">
        <w:t xml:space="preserve"> (</w:t>
      </w:r>
      <w:r w:rsidR="00D22414">
        <w:t xml:space="preserve">Ryan’s response </w:t>
      </w:r>
      <w:r w:rsidR="00F50657">
        <w:t>Notes 14, p. 67)</w:t>
      </w:r>
    </w:p>
    <w:p w14:paraId="214467C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RE with a drift in inflation? (noisy info, Philippe Andrade)</w:t>
      </w:r>
    </w:p>
    <w:p w14:paraId="584D739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care about anchoring?</w:t>
      </w:r>
    </w:p>
    <w:p w14:paraId="2E573F58" w14:textId="78402FED" w:rsidR="00155975" w:rsidRDefault="00155975" w:rsidP="00155975">
      <w:pPr>
        <w:pStyle w:val="ListParagraph"/>
        <w:numPr>
          <w:ilvl w:val="0"/>
          <w:numId w:val="1"/>
        </w:numPr>
      </w:pPr>
      <w:r>
        <w:t>Why not diagnostic expectations?</w:t>
      </w:r>
      <w:r w:rsidR="000F4C3E">
        <w:t xml:space="preserve"> </w:t>
      </w:r>
      <w:r w:rsidR="000F4C3E">
        <w:sym w:font="Wingdings" w:char="F0E0"/>
      </w:r>
      <w:r w:rsidR="000F4C3E">
        <w:t xml:space="preserve"> Afrouzi et al 2020 WP document that diagnostic expectations don’t fit the varying levels of overreaction observed in experimental data. </w:t>
      </w:r>
    </w:p>
    <w:p w14:paraId="174CAAF2" w14:textId="7B3A6362" w:rsidR="003D0234" w:rsidRDefault="003D0234" w:rsidP="00155975">
      <w:pPr>
        <w:pStyle w:val="ListParagraph"/>
        <w:numPr>
          <w:ilvl w:val="0"/>
          <w:numId w:val="1"/>
        </w:numPr>
      </w:pPr>
      <w:r>
        <w:t>What are the properties of Ehat? Can one differentiate through it? Does it satisfy LIE?</w:t>
      </w:r>
    </w:p>
    <w:p w14:paraId="6425D94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learn the slope?</w:t>
      </w:r>
    </w:p>
    <w:p w14:paraId="23BD471D" w14:textId="2F5DFA4E" w:rsidR="000C32D7" w:rsidRDefault="000C32D7" w:rsidP="00155975">
      <w:pPr>
        <w:pStyle w:val="ListParagraph"/>
        <w:numPr>
          <w:ilvl w:val="0"/>
          <w:numId w:val="1"/>
        </w:numPr>
      </w:pPr>
      <w:r>
        <w:t>What happens if people learn the slope?</w:t>
      </w:r>
      <w:bookmarkStart w:id="0" w:name="_GoBack"/>
      <w:bookmarkEnd w:id="0"/>
    </w:p>
    <w:p w14:paraId="1B0C54A1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are the key features of the model (that distinguish it from say Phelps?)</w:t>
      </w:r>
    </w:p>
    <w:p w14:paraId="431758F0" w14:textId="6C5F9937" w:rsidR="00155975" w:rsidRDefault="00155975" w:rsidP="00155975">
      <w:pPr>
        <w:pStyle w:val="ListParagraph"/>
        <w:numPr>
          <w:ilvl w:val="0"/>
          <w:numId w:val="1"/>
        </w:numPr>
      </w:pPr>
      <w:r>
        <w:t>What do agents think? / What’s in their heads? (Susanto)</w:t>
      </w:r>
      <w:r w:rsidR="00F50657">
        <w:t xml:space="preserve"> (Notes 14 p. 65)</w:t>
      </w:r>
    </w:p>
    <w:p w14:paraId="4FEE7DA5" w14:textId="62474E4E" w:rsidR="00E00DE1" w:rsidRDefault="00E00DE1" w:rsidP="00155975">
      <w:pPr>
        <w:pStyle w:val="ListParagraph"/>
        <w:numPr>
          <w:ilvl w:val="0"/>
          <w:numId w:val="1"/>
        </w:numPr>
      </w:pPr>
      <w:r>
        <w:t>Estimated changes in LR-E: why doesn’t the gain have the pattern in the motivation plot?</w:t>
      </w:r>
    </w:p>
    <w:p w14:paraId="71BBCEB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so large an interest rate response?</w:t>
      </w:r>
    </w:p>
    <w:p w14:paraId="4CF6596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does this mean for the forward guidance puzzle?</w:t>
      </w:r>
    </w:p>
    <w:p w14:paraId="4C6C2693" w14:textId="04FEAABA" w:rsidR="00C758C3" w:rsidRDefault="00C758C3" w:rsidP="00155975">
      <w:pPr>
        <w:pStyle w:val="ListParagraph"/>
        <w:numPr>
          <w:ilvl w:val="0"/>
          <w:numId w:val="1"/>
        </w:numPr>
      </w:pPr>
      <w:r>
        <w:t xml:space="preserve"> Why is the asymmetry not there?</w:t>
      </w:r>
    </w:p>
    <w:p w14:paraId="43582FE3" w14:textId="0A03B2CC" w:rsidR="00155975" w:rsidRDefault="003D0234" w:rsidP="00155975">
      <w:pPr>
        <w:pStyle w:val="ListParagraph"/>
        <w:numPr>
          <w:ilvl w:val="0"/>
          <w:numId w:val="1"/>
        </w:numPr>
      </w:pPr>
      <w:r>
        <w:t xml:space="preserve"> </w:t>
      </w:r>
      <w:r w:rsidR="00155975">
        <w:t>Discretion?</w:t>
      </w:r>
    </w:p>
    <w:p w14:paraId="2932023D" w14:textId="2163056C" w:rsidR="00563B18" w:rsidRDefault="00832F95" w:rsidP="00155975">
      <w:pPr>
        <w:pStyle w:val="ListParagraph"/>
        <w:numPr>
          <w:ilvl w:val="0"/>
          <w:numId w:val="1"/>
        </w:numPr>
      </w:pPr>
      <w:r>
        <w:t xml:space="preserve"> Why so volatile?</w:t>
      </w:r>
    </w:p>
    <w:p w14:paraId="39E8571F" w14:textId="44F87ECA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Why should I use your model? It looks hard…</w:t>
      </w:r>
    </w:p>
    <w:p w14:paraId="0C24DA5C" w14:textId="7CD9C021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Do you really believe the CB should respond so much with the interest rate?</w:t>
      </w:r>
    </w:p>
    <w:p w14:paraId="4AEEE9E4" w14:textId="0452F7F6" w:rsidR="003D0234" w:rsidRDefault="003D0234" w:rsidP="00155975">
      <w:pPr>
        <w:pStyle w:val="ListParagraph"/>
        <w:numPr>
          <w:ilvl w:val="0"/>
          <w:numId w:val="1"/>
        </w:numPr>
      </w:pPr>
      <w:r>
        <w:t>Why is TR less aggressive?</w:t>
      </w:r>
    </w:p>
    <w:p w14:paraId="4A8FA8FE" w14:textId="7DFF4A1E" w:rsidR="003D0234" w:rsidRDefault="003D0234" w:rsidP="00155975">
      <w:pPr>
        <w:pStyle w:val="ListParagraph"/>
        <w:numPr>
          <w:ilvl w:val="0"/>
          <w:numId w:val="1"/>
        </w:numPr>
      </w:pPr>
      <w:r>
        <w:t>Why, if in RE you can write the IS curve in the recursive fashion, do expected interest rates play a bigger role here than under RE?</w:t>
      </w:r>
    </w:p>
    <w:sectPr w:rsidR="003D0234" w:rsidSect="004B6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56B3"/>
    <w:multiLevelType w:val="hybridMultilevel"/>
    <w:tmpl w:val="AD7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8D"/>
    <w:rsid w:val="00070DC0"/>
    <w:rsid w:val="000C32D7"/>
    <w:rsid w:val="000F4C3E"/>
    <w:rsid w:val="00155975"/>
    <w:rsid w:val="003D0234"/>
    <w:rsid w:val="004B6362"/>
    <w:rsid w:val="00563B18"/>
    <w:rsid w:val="005C66BF"/>
    <w:rsid w:val="00832F95"/>
    <w:rsid w:val="00841475"/>
    <w:rsid w:val="00C758C3"/>
    <w:rsid w:val="00D22414"/>
    <w:rsid w:val="00E00DE1"/>
    <w:rsid w:val="00F50657"/>
    <w:rsid w:val="00F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D1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1061</Characters>
  <Application>Microsoft Macintosh Word</Application>
  <DocSecurity>0</DocSecurity>
  <Lines>8</Lines>
  <Paragraphs>2</Paragraphs>
  <ScaleCrop>false</ScaleCrop>
  <Company>Boston College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Gati</dc:creator>
  <cp:keywords/>
  <dc:description/>
  <cp:lastModifiedBy>Laura Gati</cp:lastModifiedBy>
  <cp:revision>8</cp:revision>
  <dcterms:created xsi:type="dcterms:W3CDTF">2020-10-14T15:28:00Z</dcterms:created>
  <dcterms:modified xsi:type="dcterms:W3CDTF">2020-10-20T19:27:00Z</dcterms:modified>
</cp:coreProperties>
</file>