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57354" w14:textId="77777777" w:rsidR="003954B3" w:rsidRDefault="00F21C24" w:rsidP="003954B3">
      <w:r>
        <w:t>Intuitions – approximately in order of slides</w:t>
      </w:r>
    </w:p>
    <w:p w14:paraId="6AB66057" w14:textId="77777777" w:rsidR="00F21C24" w:rsidRDefault="00F21C24" w:rsidP="003954B3"/>
    <w:p w14:paraId="719AC923" w14:textId="77777777" w:rsidR="00F21C24" w:rsidRDefault="00F21C24" w:rsidP="00F21C24">
      <w:pPr>
        <w:pStyle w:val="ListParagraph"/>
        <w:numPr>
          <w:ilvl w:val="0"/>
          <w:numId w:val="1"/>
        </w:numPr>
      </w:pPr>
      <w:r>
        <w:t>Anchored expectations: long-run expectations stay where they are regardless of how actual inflation moves around. Important because long-run E determine how firms set prices, so if long-run E stable, prices are stable</w:t>
      </w:r>
    </w:p>
    <w:p w14:paraId="5A233442" w14:textId="6FD34D76" w:rsidR="00F21C24" w:rsidRDefault="00F21C24" w:rsidP="00F21C24">
      <w:pPr>
        <w:pStyle w:val="ListParagraph"/>
        <w:numPr>
          <w:ilvl w:val="0"/>
          <w:numId w:val="1"/>
        </w:numPr>
      </w:pPr>
      <w:r>
        <w:t>Dgain and cgain vs. endogenous gain: the first two are not true in data. Recall motivation slide: we see that LR-E respond in a time-varying way to inflation surprises. That’s why it is important to look at monpol in an endogenous gain setting. Carvalho et al 2019 showed that Great Inflation was a period of high gains, again an endog gain explains that, c or d don’t.</w:t>
      </w:r>
      <w:r w:rsidR="00604265">
        <w:t xml:space="preserve"> (Jenny)</w:t>
      </w:r>
    </w:p>
    <w:p w14:paraId="126B9155" w14:textId="77777777" w:rsidR="006F0A16" w:rsidRDefault="00604265" w:rsidP="006F0A16">
      <w:pPr>
        <w:pStyle w:val="ListParagraph"/>
        <w:numPr>
          <w:ilvl w:val="0"/>
          <w:numId w:val="1"/>
        </w:numPr>
      </w:pPr>
      <w:r>
        <w:t>Cgain looks like noisy info in the data (Coibion &amp; Gorodnichenko 2015) (Jenny)</w:t>
      </w:r>
    </w:p>
    <w:p w14:paraId="699A3817" w14:textId="7A850A83" w:rsidR="00124C46" w:rsidRDefault="00124C46" w:rsidP="006F0A16">
      <w:pPr>
        <w:pStyle w:val="ListParagraph"/>
        <w:numPr>
          <w:ilvl w:val="0"/>
          <w:numId w:val="1"/>
        </w:numPr>
      </w:pPr>
      <w:r>
        <w:t>Estimation&gt; 2015 period: something might be going on with oil prices</w:t>
      </w:r>
      <w:r w:rsidR="006F0A16">
        <w:t>: World Bank blog: “</w:t>
      </w:r>
      <w:r w:rsidR="006F0A16" w:rsidRPr="006F0A16">
        <w:rPr>
          <w:rFonts w:ascii="Helvetica" w:eastAsia="Times New Roman" w:hAnsi="Helvetica" w:cs="Times New Roman"/>
          <w:color w:val="333333"/>
          <w:sz w:val="27"/>
          <w:szCs w:val="27"/>
          <w:shd w:val="clear" w:color="auto" w:fill="FFFFFF"/>
        </w:rPr>
        <w:t> </w:t>
      </w:r>
      <w:r w:rsidR="006F0A16" w:rsidRPr="006F0A16">
        <w:t>2014-16 collapse in oil prices</w:t>
      </w:r>
      <w:r w:rsidR="006F0A16">
        <w:t>” was the biggest drop in oil prices in modern history (70% drop). It was mainly driven by efficiency gains in shale oil production.</w:t>
      </w:r>
      <w:r w:rsidR="00500596">
        <w:t xml:space="preserve"> According to the World Bank, there was also low demand.</w:t>
      </w:r>
      <w:r w:rsidR="00D301F6">
        <w:t xml:space="preserve"> Goro et al have shown that consumer expectations very sensitive to oil prices b/c gasoline is salient.</w:t>
      </w:r>
      <w:r w:rsidR="001D2AED">
        <w:t xml:space="preserve"> (Jenny)</w:t>
      </w:r>
    </w:p>
    <w:p w14:paraId="78A3ACBC" w14:textId="49E69284" w:rsidR="008C22D5" w:rsidRDefault="008C22D5" w:rsidP="006F0A16">
      <w:pPr>
        <w:pStyle w:val="ListParagraph"/>
        <w:numPr>
          <w:ilvl w:val="0"/>
          <w:numId w:val="1"/>
        </w:numPr>
      </w:pPr>
      <w:r>
        <w:t>TC: In RE, optimal thing to do is to move pi and x to absorb a cost-push shock. In adaptive learning, a new thing is Ex, you can push some of the shock to the future.</w:t>
      </w:r>
      <w:r w:rsidR="001D2AED">
        <w:t xml:space="preserve"> (Jenny)</w:t>
      </w:r>
    </w:p>
    <w:p w14:paraId="497CAE39" w14:textId="038F4D0A" w:rsidR="00DB76CC" w:rsidRDefault="00DB76CC" w:rsidP="006F0A16">
      <w:pPr>
        <w:pStyle w:val="ListParagraph"/>
        <w:numPr>
          <w:ilvl w:val="0"/>
          <w:numId w:val="1"/>
        </w:numPr>
      </w:pPr>
      <w:r>
        <w:t>Asymmetry is there in policy, but it doesn’t show up in the plot b/c I’m plotting interest rate against pibar, not against fe.</w:t>
      </w:r>
      <w:bookmarkStart w:id="0" w:name="_GoBack"/>
      <w:bookmarkEnd w:id="0"/>
    </w:p>
    <w:p w14:paraId="63AB8ED9" w14:textId="7EC63CB8" w:rsidR="008F3D5D" w:rsidRDefault="008F3D5D" w:rsidP="006F0A16">
      <w:pPr>
        <w:pStyle w:val="ListParagraph"/>
        <w:numPr>
          <w:ilvl w:val="0"/>
          <w:numId w:val="1"/>
        </w:numPr>
      </w:pPr>
      <w:r>
        <w:t xml:space="preserve">Optimal policy is large, yes, but it’s large because such aggressiveness allows the CB to stabilize pibar, so it’s never necessary </w:t>
      </w:r>
      <w:r>
        <w:sym w:font="Wingdings" w:char="F0E0"/>
      </w:r>
      <w:r>
        <w:t xml:space="preserve"> show that model spends most of its time in the pibar close to zero region.</w:t>
      </w:r>
      <w:r w:rsidR="003D161A">
        <w:t xml:space="preserve"> (Jenny)</w:t>
      </w:r>
    </w:p>
    <w:p w14:paraId="0F0D9A0F" w14:textId="6A4345C2" w:rsidR="001D2AED" w:rsidRDefault="001D2AED" w:rsidP="006F0A16">
      <w:pPr>
        <w:pStyle w:val="ListParagraph"/>
        <w:numPr>
          <w:ilvl w:val="0"/>
          <w:numId w:val="1"/>
        </w:numPr>
      </w:pPr>
      <w:r>
        <w:t>IRFs with cgain against unanchored: emphasize that the only diff between the two is the gain, so that policy wants to avoid letting the gain be high (Jenny)</w:t>
      </w:r>
    </w:p>
    <w:sectPr w:rsidR="001D2AED" w:rsidSect="003954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299F"/>
    <w:multiLevelType w:val="hybridMultilevel"/>
    <w:tmpl w:val="E2EADAD6"/>
    <w:lvl w:ilvl="0" w:tplc="169CCF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24"/>
    <w:rsid w:val="00124C46"/>
    <w:rsid w:val="001D2AED"/>
    <w:rsid w:val="003954B3"/>
    <w:rsid w:val="003D161A"/>
    <w:rsid w:val="004B6362"/>
    <w:rsid w:val="00500596"/>
    <w:rsid w:val="00604265"/>
    <w:rsid w:val="006F0A16"/>
    <w:rsid w:val="008C22D5"/>
    <w:rsid w:val="008F3D5D"/>
    <w:rsid w:val="0098265E"/>
    <w:rsid w:val="00D301F6"/>
    <w:rsid w:val="00DB76CC"/>
    <w:rsid w:val="00F2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87AB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0A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F0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271</Words>
  <Characters>1545</Characters>
  <Application>Microsoft Macintosh Word</Application>
  <DocSecurity>0</DocSecurity>
  <Lines>12</Lines>
  <Paragraphs>3</Paragraphs>
  <ScaleCrop>false</ScaleCrop>
  <Company>Boston College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Gati</cp:lastModifiedBy>
  <cp:revision>9</cp:revision>
  <dcterms:created xsi:type="dcterms:W3CDTF">2020-10-18T15:30:00Z</dcterms:created>
  <dcterms:modified xsi:type="dcterms:W3CDTF">2020-10-18T19:53:00Z</dcterms:modified>
</cp:coreProperties>
</file>