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D57354" w14:textId="77777777" w:rsidR="003954B3" w:rsidRDefault="00F21C24" w:rsidP="003954B3">
      <w:r>
        <w:t>Intuitions – approximately in order of slides</w:t>
      </w:r>
    </w:p>
    <w:p w14:paraId="6AB66057" w14:textId="77777777" w:rsidR="00F21C24" w:rsidRDefault="00F21C24" w:rsidP="003954B3"/>
    <w:p w14:paraId="719AC923" w14:textId="77777777" w:rsidR="00F21C24" w:rsidRDefault="00F21C24" w:rsidP="00F21C24">
      <w:pPr>
        <w:pStyle w:val="ListParagraph"/>
        <w:numPr>
          <w:ilvl w:val="0"/>
          <w:numId w:val="1"/>
        </w:numPr>
      </w:pPr>
      <w:r>
        <w:t>Anchored expectations: long-run expectations stay where they are regardless of how actual inflation moves around. Important because long-run E determine how firms set prices, so if long-run E stable, prices are stable</w:t>
      </w:r>
    </w:p>
    <w:p w14:paraId="0AA18ADF" w14:textId="74ABD94D" w:rsidR="00133E11" w:rsidRDefault="00133E11" w:rsidP="00F21C24">
      <w:pPr>
        <w:pStyle w:val="ListParagraph"/>
        <w:numPr>
          <w:ilvl w:val="0"/>
          <w:numId w:val="1"/>
        </w:numPr>
      </w:pPr>
      <w:r>
        <w:t>The right model: Peter’s response: (Notes 14, p. 76): “We observe in data (which the CB observes too) phenomena that reflect fundamental deviations from RE (in a particular way) and CB-ers ask: ‘what should I do?’ I take a canonical model and tailor to a) explain the phenomenon</w:t>
      </w:r>
      <w:r w:rsidR="001C56BA">
        <w:t xml:space="preserve"> b) tell central bankers what to do. My paper is the first to answer these questions.</w:t>
      </w:r>
      <w:r>
        <w:t>”</w:t>
      </w:r>
    </w:p>
    <w:p w14:paraId="3FD54061" w14:textId="2337184F" w:rsidR="00F07842" w:rsidRDefault="00133E11" w:rsidP="00F21C24">
      <w:pPr>
        <w:pStyle w:val="ListParagraph"/>
        <w:numPr>
          <w:ilvl w:val="0"/>
          <w:numId w:val="1"/>
        </w:numPr>
      </w:pPr>
      <w:r>
        <w:t>Regression</w:t>
      </w:r>
      <w:r w:rsidR="00F07842">
        <w:t xml:space="preserve">: “The RE assumption regarding the Fed’s </w:t>
      </w:r>
      <w:r>
        <w:t>target</w:t>
      </w:r>
      <w:r w:rsidR="00F07842">
        <w:t xml:space="preserve"> implies LR-E will be 2%. Yet in the data we see E not only varying away from 2%, but doing so in a way that’s systematically related to forecast errors. Moreover, what this means is that it’s not enough for policy to tell the PS that inflation will be 2%, but it needs to deliver to get E back up.” (Peter, Notes 14, p. 74)</w:t>
      </w:r>
    </w:p>
    <w:p w14:paraId="3D3F62BF" w14:textId="3A10533A" w:rsidR="00F07842" w:rsidRDefault="00F07842" w:rsidP="00F21C24">
      <w:pPr>
        <w:pStyle w:val="ListParagraph"/>
        <w:numPr>
          <w:ilvl w:val="0"/>
          <w:numId w:val="1"/>
        </w:numPr>
      </w:pPr>
      <w:r>
        <w:t>Regression: it’s not a test of a particular theory, but what I’m saying is “if the 2% target is fully credible, LR-E should be 2%. Instead the regression shows sensitivity to fe. ‘E deviate from 2% all the time and they do so in response to observed movements in inflation</w:t>
      </w:r>
      <w:r w:rsidR="002D3D21">
        <w:t>.</w:t>
      </w:r>
      <w:r>
        <w:t>’</w:t>
      </w:r>
      <w:r w:rsidR="002D3D21">
        <w:t xml:space="preserve"> So if you’re a CB-er, what do you do about this to get E anchored? I can’t rely on a regression b/c not causal, so I develop a fully developed model w/ a departure from RE.”</w:t>
      </w:r>
    </w:p>
    <w:p w14:paraId="24E0B838" w14:textId="37A1FBCC" w:rsidR="00501671" w:rsidRDefault="00501671" w:rsidP="00F21C24">
      <w:pPr>
        <w:pStyle w:val="ListParagraph"/>
        <w:numPr>
          <w:ilvl w:val="0"/>
          <w:numId w:val="1"/>
        </w:numPr>
      </w:pPr>
      <w:r>
        <w:t>Expectations:</w:t>
      </w:r>
    </w:p>
    <w:p w14:paraId="5C07F07E" w14:textId="43342977" w:rsidR="00501671" w:rsidRDefault="00501671" w:rsidP="00F21C24">
      <w:pPr>
        <w:pStyle w:val="ListParagraph"/>
        <w:numPr>
          <w:ilvl w:val="0"/>
          <w:numId w:val="1"/>
        </w:numPr>
      </w:pPr>
      <w:r>
        <w:t xml:space="preserve">Not learning the slope corresponds to the fact that higher-order expectations are in the background (Susanto, Notes 14, p. </w:t>
      </w:r>
      <w:bookmarkStart w:id="0" w:name="_GoBack"/>
      <w:bookmarkEnd w:id="0"/>
      <w:r>
        <w:t>82)</w:t>
      </w:r>
    </w:p>
    <w:p w14:paraId="5A233442" w14:textId="6FD34D76" w:rsidR="00F21C24" w:rsidRDefault="00F21C24" w:rsidP="00F21C24">
      <w:pPr>
        <w:pStyle w:val="ListParagraph"/>
        <w:numPr>
          <w:ilvl w:val="0"/>
          <w:numId w:val="1"/>
        </w:numPr>
      </w:pPr>
      <w:r>
        <w:t>Dgain and cgain vs. endogenous gain: the first two are not true in data. Recall motivation slide: we see that LR-E respond in a time-varying way to inflation surprises. That’s why it is important to look at monpol in an endogenous gain setting. Carvalho et al 2019 showed that Great Inflation was a period of high gains, again an endog gain explains that, c or d don’t.</w:t>
      </w:r>
      <w:r w:rsidR="00604265">
        <w:t xml:space="preserve"> (Jenny)</w:t>
      </w:r>
    </w:p>
    <w:p w14:paraId="126B9155" w14:textId="77777777" w:rsidR="006F0A16" w:rsidRDefault="00604265" w:rsidP="006F0A16">
      <w:pPr>
        <w:pStyle w:val="ListParagraph"/>
        <w:numPr>
          <w:ilvl w:val="0"/>
          <w:numId w:val="1"/>
        </w:numPr>
      </w:pPr>
      <w:r>
        <w:t>Cgain looks like noisy info in the data (Coibion &amp; Gorodnichenko 2015) (Jenny)</w:t>
      </w:r>
    </w:p>
    <w:p w14:paraId="699A3817" w14:textId="7A850A83" w:rsidR="00124C46" w:rsidRDefault="00124C46" w:rsidP="006F0A16">
      <w:pPr>
        <w:pStyle w:val="ListParagraph"/>
        <w:numPr>
          <w:ilvl w:val="0"/>
          <w:numId w:val="1"/>
        </w:numPr>
      </w:pPr>
      <w:r>
        <w:t>Estimation&gt; 2015 period: something might be going on with oil prices</w:t>
      </w:r>
      <w:r w:rsidR="006F0A16">
        <w:t>: World Bank blog: “</w:t>
      </w:r>
      <w:r w:rsidR="006F0A16" w:rsidRPr="006F0A16">
        <w:rPr>
          <w:rFonts w:ascii="Helvetica" w:eastAsia="Times New Roman" w:hAnsi="Helvetica" w:cs="Times New Roman"/>
          <w:color w:val="333333"/>
          <w:sz w:val="27"/>
          <w:szCs w:val="27"/>
          <w:shd w:val="clear" w:color="auto" w:fill="FFFFFF"/>
        </w:rPr>
        <w:t> </w:t>
      </w:r>
      <w:r w:rsidR="006F0A16" w:rsidRPr="006F0A16">
        <w:t>2014-16 collapse in oil prices</w:t>
      </w:r>
      <w:r w:rsidR="006F0A16">
        <w:t>” was the biggest drop in oil prices in modern history (70% drop). It was mainly driven by efficiency gains in shale oil production.</w:t>
      </w:r>
      <w:r w:rsidR="00500596">
        <w:t xml:space="preserve"> According to the World Bank, there was also low demand.</w:t>
      </w:r>
      <w:r w:rsidR="00D301F6">
        <w:t xml:space="preserve"> Goro et al have shown that consumer expectations very sensitive to oil prices b/c gasoline is salient.</w:t>
      </w:r>
      <w:r w:rsidR="001D2AED">
        <w:t xml:space="preserve"> (Jenny)</w:t>
      </w:r>
    </w:p>
    <w:p w14:paraId="78A3ACBC" w14:textId="49E69284" w:rsidR="008C22D5" w:rsidRDefault="008C22D5" w:rsidP="006F0A16">
      <w:pPr>
        <w:pStyle w:val="ListParagraph"/>
        <w:numPr>
          <w:ilvl w:val="0"/>
          <w:numId w:val="1"/>
        </w:numPr>
      </w:pPr>
      <w:r>
        <w:t>TC: In RE, optimal thing to do is to move pi and x to absorb a cost-push shock. In adaptive learning, a new thing is Ex, you can push some of the shock to the future.</w:t>
      </w:r>
      <w:r w:rsidR="001D2AED">
        <w:t xml:space="preserve"> (Jenny)</w:t>
      </w:r>
    </w:p>
    <w:p w14:paraId="497CAE39" w14:textId="038F4D0A" w:rsidR="00DB76CC" w:rsidRDefault="00DB76CC" w:rsidP="006F0A16">
      <w:pPr>
        <w:pStyle w:val="ListParagraph"/>
        <w:numPr>
          <w:ilvl w:val="0"/>
          <w:numId w:val="1"/>
        </w:numPr>
      </w:pPr>
      <w:r>
        <w:t>Asymmetry is there in policy, but it doesn’t show up in the plot b/c I’m plotting interest rate against pibar, not against fe.</w:t>
      </w:r>
    </w:p>
    <w:p w14:paraId="63AB8ED9" w14:textId="6E2F95CD" w:rsidR="008F3D5D" w:rsidRDefault="008F3D5D" w:rsidP="006F0A16">
      <w:pPr>
        <w:pStyle w:val="ListParagraph"/>
        <w:numPr>
          <w:ilvl w:val="0"/>
          <w:numId w:val="1"/>
        </w:numPr>
      </w:pPr>
      <w:r>
        <w:t xml:space="preserve">Optimal policy is large, yes, but it’s large because such aggressiveness allows the CB to stabilize pibar, so it’s never necessary </w:t>
      </w:r>
      <w:r>
        <w:sym w:font="Wingdings" w:char="F0E0"/>
      </w:r>
      <w:r>
        <w:t xml:space="preserve"> show that model spends </w:t>
      </w:r>
      <w:r>
        <w:lastRenderedPageBreak/>
        <w:t>most of its time in the pibar close to zero region.</w:t>
      </w:r>
      <w:r w:rsidR="00260F5C">
        <w:t xml:space="preserve"> It spends more than 60% of time in the &lt;90 bp movements in int rate</w:t>
      </w:r>
      <w:r w:rsidR="003D161A">
        <w:t xml:space="preserve"> (Jenny)</w:t>
      </w:r>
    </w:p>
    <w:p w14:paraId="6CF02188" w14:textId="7274C1ED" w:rsidR="00931CF0" w:rsidRDefault="00931CF0" w:rsidP="006F0A16">
      <w:pPr>
        <w:pStyle w:val="ListParagraph"/>
        <w:numPr>
          <w:ilvl w:val="0"/>
          <w:numId w:val="1"/>
        </w:numPr>
      </w:pPr>
      <w:r>
        <w:t>Goodfriend 1993 showed that to subdue inflation scares, Fed repatedly raised bu hundreds of bp, e.g. raised by 300 bp in March 1980</w:t>
      </w:r>
    </w:p>
    <w:p w14:paraId="0F0D9A0F" w14:textId="6A4345C2" w:rsidR="001D2AED" w:rsidRDefault="001D2AED" w:rsidP="006F0A16">
      <w:pPr>
        <w:pStyle w:val="ListParagraph"/>
        <w:numPr>
          <w:ilvl w:val="0"/>
          <w:numId w:val="1"/>
        </w:numPr>
      </w:pPr>
      <w:r>
        <w:t>IRFs with cgain against unanchored: emphasize that the only diff between the two is the gain, so that policy wants to avoid letting the gain be high (Jenny)</w:t>
      </w:r>
    </w:p>
    <w:p w14:paraId="2BB2541F" w14:textId="2BC99411" w:rsidR="00AF4235" w:rsidRDefault="00AF4235" w:rsidP="006F0A16">
      <w:pPr>
        <w:pStyle w:val="ListParagraph"/>
        <w:numPr>
          <w:ilvl w:val="0"/>
          <w:numId w:val="1"/>
        </w:numPr>
      </w:pPr>
      <w:r>
        <w:t>TR less aggressive than RE: refer to the debate between Orphanides vs. Preston and emphasize my contribution (Philippe)</w:t>
      </w:r>
    </w:p>
    <w:p w14:paraId="6A63DF98" w14:textId="540AF5B8" w:rsidR="00AF4235" w:rsidRDefault="00AF4235" w:rsidP="006F0A16">
      <w:pPr>
        <w:pStyle w:val="ListParagraph"/>
        <w:numPr>
          <w:ilvl w:val="0"/>
          <w:numId w:val="1"/>
        </w:numPr>
      </w:pPr>
      <w:r>
        <w:t>Same: Gurkaynak, Sack and Swanson 2005 find that interest rates in the future go negative after a positive int rate shock today, b/c corr(int, E(pi future) &lt; 0).</w:t>
      </w:r>
    </w:p>
    <w:p w14:paraId="46739F75" w14:textId="51773B2D" w:rsidR="008C13D8" w:rsidRDefault="008C13D8" w:rsidP="006F0A16">
      <w:pPr>
        <w:pStyle w:val="ListParagraph"/>
        <w:numPr>
          <w:ilvl w:val="0"/>
          <w:numId w:val="1"/>
        </w:numPr>
      </w:pPr>
      <w:r>
        <w:t>Same: in RE the same channels are there it’s just that interest rate expectations are rational. Here, they are partly comprised by a non-rational, more volatile expectations (of inflation) and so they move more.</w:t>
      </w:r>
    </w:p>
    <w:sectPr w:rsidR="008C13D8" w:rsidSect="003954B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8C299F"/>
    <w:multiLevelType w:val="hybridMultilevel"/>
    <w:tmpl w:val="E2EADAD6"/>
    <w:lvl w:ilvl="0" w:tplc="169CCFF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C24"/>
    <w:rsid w:val="00124C46"/>
    <w:rsid w:val="00133E11"/>
    <w:rsid w:val="001C56BA"/>
    <w:rsid w:val="001D2AED"/>
    <w:rsid w:val="00260F5C"/>
    <w:rsid w:val="002D3D21"/>
    <w:rsid w:val="003954B3"/>
    <w:rsid w:val="003D161A"/>
    <w:rsid w:val="004B6362"/>
    <w:rsid w:val="00500596"/>
    <w:rsid w:val="00501671"/>
    <w:rsid w:val="00604265"/>
    <w:rsid w:val="006F0A16"/>
    <w:rsid w:val="008C13D8"/>
    <w:rsid w:val="008C22D5"/>
    <w:rsid w:val="008F3D5D"/>
    <w:rsid w:val="00931CF0"/>
    <w:rsid w:val="0098265E"/>
    <w:rsid w:val="00AF4235"/>
    <w:rsid w:val="00D301F6"/>
    <w:rsid w:val="00DB76CC"/>
    <w:rsid w:val="00F07842"/>
    <w:rsid w:val="00F2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87AB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C2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F0A1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C2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F0A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47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574</Words>
  <Characters>3273</Characters>
  <Application>Microsoft Macintosh Word</Application>
  <DocSecurity>0</DocSecurity>
  <Lines>27</Lines>
  <Paragraphs>7</Paragraphs>
  <ScaleCrop>false</ScaleCrop>
  <Company>Boston College</Company>
  <LinksUpToDate>false</LinksUpToDate>
  <CharactersWithSpaces>3840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Laura Gati</cp:lastModifiedBy>
  <cp:revision>16</cp:revision>
  <dcterms:created xsi:type="dcterms:W3CDTF">2020-10-18T15:30:00Z</dcterms:created>
  <dcterms:modified xsi:type="dcterms:W3CDTF">2020-10-20T19:29:00Z</dcterms:modified>
</cp:coreProperties>
</file>