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5BEB">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55BEB">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5BEB">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55BEB">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55BEB">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5BEB">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5BEB">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 xml:space="preserve">3.2 Categoría B: </w:t>
      </w:r>
      <w:bookmarkEnd w:id="12"/>
      <w:r w:rsidR="00625AA2">
        <w:t>Usabilidad</w:t>
      </w:r>
    </w:p>
    <w:p w:rsidR="001B528E" w:rsidRPr="001A45FA" w:rsidRDefault="001B528E" w:rsidP="001B528E"/>
    <w:p w:rsidR="001B528E" w:rsidRDefault="001B528E" w:rsidP="001B528E">
      <w:pPr>
        <w:pStyle w:val="Ttulo3"/>
      </w:pPr>
      <w:bookmarkStart w:id="13" w:name="_Toc445388861"/>
      <w:r>
        <w:t>3.2.1 Criterio B.</w:t>
      </w:r>
      <w:r w:rsidR="00625AA2">
        <w:t>4</w:t>
      </w:r>
      <w:r>
        <w:t xml:space="preserve">: </w:t>
      </w:r>
      <w:bookmarkEnd w:id="13"/>
      <w:r w:rsidR="00625AA2">
        <w:t>Estabilidad</w:t>
      </w:r>
    </w:p>
    <w:p w:rsidR="00625AA2" w:rsidRDefault="00625AA2" w:rsidP="00625AA2">
      <w:r w:rsidRPr="003A74C2">
        <w:rPr>
          <w:b/>
        </w:rPr>
        <w:t>Descripción</w:t>
      </w:r>
      <w:r>
        <w:t xml:space="preserve">: </w:t>
      </w:r>
      <w:r w:rsidR="003A74C2">
        <w:t>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rsidR="00625AA2" w:rsidRPr="00625AA2" w:rsidRDefault="00625AA2" w:rsidP="00625AA2">
      <w:r w:rsidRPr="003A74C2">
        <w:rPr>
          <w:b/>
        </w:rPr>
        <w:t>Valoración</w:t>
      </w:r>
      <w:r>
        <w:t>: Numérico escala 1-10</w:t>
      </w:r>
      <w:r w:rsidR="003A74C2">
        <w:t>.</w:t>
      </w:r>
    </w:p>
    <w:p w:rsidR="001B528E" w:rsidRDefault="001B528E" w:rsidP="001B528E">
      <w:pPr>
        <w:pStyle w:val="Ttulo3"/>
      </w:pPr>
      <w:bookmarkStart w:id="14" w:name="_Toc445388862"/>
      <w:r>
        <w:t>3.2.2 Criterio B.</w:t>
      </w:r>
      <w:r w:rsidR="00625AA2">
        <w:t>5</w:t>
      </w:r>
      <w:r>
        <w:t xml:space="preserve">: </w:t>
      </w:r>
      <w:bookmarkEnd w:id="14"/>
      <w:r w:rsidR="00625AA2">
        <w:t>Puesta en funcionamiento</w:t>
      </w:r>
    </w:p>
    <w:p w:rsidR="00625AA2" w:rsidRDefault="00625AA2" w:rsidP="00625AA2">
      <w:r w:rsidRPr="003A74C2">
        <w:rPr>
          <w:b/>
        </w:rPr>
        <w:t>Descripción</w:t>
      </w:r>
      <w:r>
        <w:t>:</w:t>
      </w:r>
      <w:r w:rsidR="003A74C2">
        <w:t xml:space="preserve"> Grado de facilidad existente a la hora de realizar la configuración inicial de la herramienta. Una puntuación de 1 corresponde a un alto grado de dificultad en dicha configuración y un 10 corresponde a una configuración sencilla o innecesaria.</w:t>
      </w:r>
    </w:p>
    <w:p w:rsidR="00625AA2" w:rsidRPr="00625AA2" w:rsidRDefault="00625AA2" w:rsidP="00625AA2">
      <w:r w:rsidRPr="003A74C2">
        <w:rPr>
          <w:b/>
        </w:rPr>
        <w:t>Valoración</w:t>
      </w:r>
      <w:r>
        <w:t>:</w:t>
      </w:r>
      <w:r w:rsidR="003A74C2">
        <w:t xml:space="preserve"> Numérico escala 1-10.</w:t>
      </w:r>
    </w:p>
    <w:p w:rsidR="001B528E" w:rsidRDefault="001B528E" w:rsidP="001B528E"/>
    <w:p w:rsidR="001B528E" w:rsidRDefault="0013253C" w:rsidP="001B528E">
      <w:pPr>
        <w:pStyle w:val="Ttulo2"/>
      </w:pPr>
      <w:bookmarkStart w:id="15" w:name="_Toc445388864"/>
      <w:r>
        <w:t>3.3 Categoría Z</w:t>
      </w:r>
      <w:r w:rsidR="001B528E">
        <w:t>: Nombre</w:t>
      </w:r>
      <w:bookmarkEnd w:id="15"/>
    </w:p>
    <w:p w:rsidR="001B528E" w:rsidRPr="001A45FA" w:rsidRDefault="001B528E" w:rsidP="001B528E"/>
    <w:p w:rsidR="001B528E" w:rsidRDefault="0013253C" w:rsidP="001B528E">
      <w:pPr>
        <w:pStyle w:val="Ttulo3"/>
      </w:pPr>
      <w:bookmarkStart w:id="16" w:name="_Toc445388865"/>
      <w:r>
        <w:t>3.3.1 Criterio Z</w:t>
      </w:r>
      <w:r w:rsidR="001B528E">
        <w:t>.1: Nombre</w:t>
      </w:r>
      <w:bookmarkEnd w:id="16"/>
    </w:p>
    <w:p w:rsidR="001B528E" w:rsidRDefault="0013253C" w:rsidP="001B528E">
      <w:pPr>
        <w:pStyle w:val="Ttulo3"/>
      </w:pPr>
      <w:bookmarkStart w:id="17" w:name="_Toc445388866"/>
      <w:r>
        <w:t>3.3.2 Criterio Z</w:t>
      </w:r>
      <w:r w:rsidR="001B528E">
        <w:t>.2: Nombre</w:t>
      </w:r>
      <w:bookmarkEnd w:id="17"/>
    </w:p>
    <w:p w:rsidR="001B528E" w:rsidRDefault="0013253C" w:rsidP="001B528E">
      <w:pPr>
        <w:pStyle w:val="Ttulo3"/>
      </w:pPr>
      <w:bookmarkStart w:id="18" w:name="_Toc445388867"/>
      <w:r>
        <w:t xml:space="preserve">3.3.n Criterio </w:t>
      </w:r>
      <w:proofErr w:type="spellStart"/>
      <w:r>
        <w:t>Z</w:t>
      </w:r>
      <w:r w:rsidR="001B528E">
        <w:t>.n</w:t>
      </w:r>
      <w:proofErr w:type="spellEnd"/>
      <w:r w:rsidR="001B528E">
        <w:t>: Nombre</w:t>
      </w:r>
      <w:bookmarkEnd w:id="18"/>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9" w:name="_Toc445388868"/>
      <w:r>
        <w:lastRenderedPageBreak/>
        <w:t xml:space="preserve">4. </w:t>
      </w:r>
      <w:r w:rsidR="00550590">
        <w:t>Evaluación de los criterios por tecnología</w:t>
      </w:r>
      <w:bookmarkEnd w:id="19"/>
    </w:p>
    <w:p w:rsidR="007928AD" w:rsidRDefault="007928AD" w:rsidP="007928AD">
      <w:pPr>
        <w:pStyle w:val="Ttulo2"/>
      </w:pPr>
      <w:bookmarkStart w:id="20" w:name="_Toc445388869"/>
      <w:r>
        <w:t>4</w:t>
      </w:r>
      <w:r w:rsidRPr="002310AF">
        <w:t xml:space="preserve">.1 </w:t>
      </w:r>
      <w:r>
        <w:t xml:space="preserve">Evaluación de los criterios para la tecnología </w:t>
      </w:r>
      <w:bookmarkEnd w:id="20"/>
      <w:r w:rsidR="00781C53">
        <w:t>APIGEE</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FB2B6E" w:rsidTr="001B528E">
        <w:tc>
          <w:tcPr>
            <w:tcW w:w="4247" w:type="dxa"/>
          </w:tcPr>
          <w:p w:rsidR="00FB2B6E" w:rsidRDefault="00FB2B6E" w:rsidP="00FB2B6E">
            <w:r>
              <w:t>Criterio B.3: Configuración propia</w:t>
            </w:r>
          </w:p>
        </w:tc>
        <w:tc>
          <w:tcPr>
            <w:tcW w:w="4247" w:type="dxa"/>
          </w:tcPr>
          <w:p w:rsidR="00FB2B6E" w:rsidRDefault="006935FB" w:rsidP="00FB2B6E">
            <w:r>
              <w:t>Bajo grado de customización,</w:t>
            </w:r>
            <w:r w:rsidR="00C11674">
              <w:t xml:space="preserve"> habiendo sido desarrollada directamente por Google y en base a su carácter de pago, presenta estructura y funcionalidades fijas.</w:t>
            </w:r>
          </w:p>
        </w:tc>
      </w:tr>
      <w:tr w:rsidR="00FB2B6E" w:rsidTr="001B528E">
        <w:tc>
          <w:tcPr>
            <w:tcW w:w="4247" w:type="dxa"/>
          </w:tcPr>
          <w:p w:rsidR="00FB2B6E" w:rsidRDefault="00FB2B6E" w:rsidP="00FB2B6E">
            <w:r>
              <w:t xml:space="preserve">Criterio B.4: </w:t>
            </w:r>
            <w:r w:rsidR="001D3352">
              <w:t>Estabilidad</w:t>
            </w:r>
          </w:p>
        </w:tc>
        <w:tc>
          <w:tcPr>
            <w:tcW w:w="4247" w:type="dxa"/>
          </w:tcPr>
          <w:p w:rsidR="00FB2B6E" w:rsidRDefault="00D22B56" w:rsidP="00FB2B6E">
            <w:r>
              <w:t>8/10; Exceptuando caídas programadas ligadas a procesos de mantenimiento, APIGEE se presenta como una herramienta fiable en cuanto a fallos y bugs.</w:t>
            </w:r>
          </w:p>
        </w:tc>
      </w:tr>
      <w:tr w:rsidR="001D3352" w:rsidTr="001B528E">
        <w:tc>
          <w:tcPr>
            <w:tcW w:w="4247" w:type="dxa"/>
          </w:tcPr>
          <w:p w:rsidR="001D3352" w:rsidRDefault="001D3352" w:rsidP="00FB2B6E">
            <w:r>
              <w:t xml:space="preserve">Criterio B.5: </w:t>
            </w:r>
            <w:r w:rsidR="00A27E38">
              <w:t>Puesta en funcionamiento</w:t>
            </w:r>
          </w:p>
        </w:tc>
        <w:tc>
          <w:tcPr>
            <w:tcW w:w="4247" w:type="dxa"/>
          </w:tcPr>
          <w:p w:rsidR="001D3352" w:rsidRDefault="00A27E38" w:rsidP="00FB2B6E">
            <w:r>
              <w:t xml:space="preserve">9/10; Dado que el acceso a dicha herramienta se realiza a través de la plataforma </w:t>
            </w:r>
            <w:proofErr w:type="spellStart"/>
            <w:r>
              <w:t>Could</w:t>
            </w:r>
            <w:proofErr w:type="spellEnd"/>
            <w:r>
              <w:t xml:space="preserve"> de Google, no es necesario realizar ninguna configuración compleja más allá de ello.</w:t>
            </w:r>
          </w:p>
        </w:tc>
      </w:tr>
      <w:tr w:rsidR="00FB2B6E" w:rsidTr="001B528E">
        <w:tc>
          <w:tcPr>
            <w:tcW w:w="4247" w:type="dxa"/>
          </w:tcPr>
          <w:p w:rsidR="00FB2B6E" w:rsidRDefault="00FB2B6E" w:rsidP="00FB2B6E">
            <w:r>
              <w:t>Criterio B.</w:t>
            </w:r>
            <w:r w:rsidR="001D3352">
              <w:t>6</w:t>
            </w:r>
            <w:r>
              <w:t>: Facilidad de uso</w:t>
            </w:r>
          </w:p>
        </w:tc>
        <w:tc>
          <w:tcPr>
            <w:tcW w:w="4247" w:type="dxa"/>
          </w:tcPr>
          <w:p w:rsidR="00FB2B6E" w:rsidRDefault="006935FB" w:rsidP="00FB2B6E">
            <w:r>
              <w:t xml:space="preserve">9/10; APIGEE presenta una herramienta de fácil utilización para usuarios nuevos, con interfaz y funcionalidades </w:t>
            </w:r>
            <w:r w:rsidR="00142D55">
              <w:t>muy manejables y con una amplia documentación en forma de apoyo.</w:t>
            </w:r>
          </w:p>
        </w:tc>
      </w:tr>
      <w:tr w:rsidR="00FB2B6E" w:rsidTr="001B528E">
        <w:tc>
          <w:tcPr>
            <w:tcW w:w="4247" w:type="dxa"/>
          </w:tcPr>
          <w:p w:rsidR="00FB2B6E" w:rsidRDefault="00FB2B6E" w:rsidP="00FB2B6E">
            <w:r>
              <w:t>Criterio C.1: Periodo de prueba</w:t>
            </w:r>
          </w:p>
        </w:tc>
        <w:tc>
          <w:tcPr>
            <w:tcW w:w="4247" w:type="dxa"/>
          </w:tcPr>
          <w:p w:rsidR="00FB2B6E" w:rsidRDefault="00FB2B6E" w:rsidP="00FB2B6E">
            <w:r>
              <w:t>Sí, existe periodo de prueba de 30 días de duración, tras lo cual se hace necesaria la elección de un plan de pago adaptado al número de usuarios.</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1" w:name="_Toc445388870"/>
      <w:r>
        <w:t>4</w:t>
      </w:r>
      <w:r w:rsidRPr="002310AF">
        <w:t>.</w:t>
      </w:r>
      <w:r>
        <w:t>2</w:t>
      </w:r>
      <w:r w:rsidRPr="002310AF">
        <w:t xml:space="preserve"> </w:t>
      </w:r>
      <w:r>
        <w:t xml:space="preserve">Evaluación de los criterios para la tecnología </w:t>
      </w:r>
      <w:bookmarkEnd w:id="21"/>
      <w:r w:rsidR="00B415A5">
        <w:t>WSO2</w:t>
      </w:r>
    </w:p>
    <w:p w:rsidR="00FB2B6E" w:rsidRDefault="00FB2B6E">
      <w:pPr>
        <w:jc w:val="left"/>
        <w:rPr>
          <w:rFonts w:eastAsiaTheme="majorEastAsia"/>
          <w:b/>
          <w:color w:val="000000" w:themeColor="text1"/>
          <w:sz w:val="28"/>
          <w:szCs w:val="28"/>
        </w:rPr>
      </w:pPr>
    </w:p>
    <w:tbl>
      <w:tblPr>
        <w:tblStyle w:val="Tablaconcuadrcula"/>
        <w:tblW w:w="0" w:type="auto"/>
        <w:tblLook w:val="04A0" w:firstRow="1" w:lastRow="0" w:firstColumn="1" w:lastColumn="0" w:noHBand="0" w:noVBand="1"/>
      </w:tblPr>
      <w:tblGrid>
        <w:gridCol w:w="4247"/>
        <w:gridCol w:w="4247"/>
      </w:tblGrid>
      <w:tr w:rsidR="00FB2B6E" w:rsidTr="005866CD">
        <w:tc>
          <w:tcPr>
            <w:tcW w:w="4247" w:type="dxa"/>
          </w:tcPr>
          <w:p w:rsidR="00FB2B6E" w:rsidRDefault="00FB2B6E" w:rsidP="005866CD">
            <w:r>
              <w:t>CRITERIOS</w:t>
            </w:r>
          </w:p>
        </w:tc>
        <w:tc>
          <w:tcPr>
            <w:tcW w:w="4247" w:type="dxa"/>
          </w:tcPr>
          <w:p w:rsidR="00FB2B6E" w:rsidRDefault="00FB2B6E" w:rsidP="005866CD">
            <w:r>
              <w:t>EVALUACIÓN</w:t>
            </w:r>
          </w:p>
        </w:tc>
      </w:tr>
      <w:tr w:rsidR="00FB2B6E" w:rsidTr="005866CD">
        <w:tc>
          <w:tcPr>
            <w:tcW w:w="4247" w:type="dxa"/>
          </w:tcPr>
          <w:p w:rsidR="00FB2B6E" w:rsidRDefault="00FB2B6E" w:rsidP="005866CD">
            <w:r>
              <w:t>Criterio B.3: Configuración propia</w:t>
            </w:r>
          </w:p>
        </w:tc>
        <w:tc>
          <w:tcPr>
            <w:tcW w:w="4247" w:type="dxa"/>
          </w:tcPr>
          <w:p w:rsidR="006935FB" w:rsidRDefault="006935FB" w:rsidP="005866CD">
            <w:r>
              <w:t>Alto grado de customización, debido principalmente al carácter de código abierto de la aplicación y a la posibilidad de incluir módulos adicionales.</w:t>
            </w:r>
          </w:p>
        </w:tc>
      </w:tr>
      <w:tr w:rsidR="00FB2B6E" w:rsidTr="005866CD">
        <w:tc>
          <w:tcPr>
            <w:tcW w:w="4247" w:type="dxa"/>
          </w:tcPr>
          <w:p w:rsidR="00FB2B6E" w:rsidRDefault="00FB2B6E" w:rsidP="005866CD">
            <w:r>
              <w:t xml:space="preserve">Criterio B.4: </w:t>
            </w:r>
            <w:r w:rsidR="001D3352">
              <w:t>Estabilidad</w:t>
            </w:r>
          </w:p>
        </w:tc>
        <w:tc>
          <w:tcPr>
            <w:tcW w:w="4247" w:type="dxa"/>
          </w:tcPr>
          <w:p w:rsidR="00FB2B6E" w:rsidRDefault="00A27E38" w:rsidP="005866CD">
            <w:r>
              <w:t xml:space="preserve">7/10; WSO2 es considerada como una herramienta fiable y de buen rendimiento, pero el hecho de encontrarse en una situación de constante desarrollo </w:t>
            </w:r>
            <w:r w:rsidR="00625AA2">
              <w:t xml:space="preserve">hace </w:t>
            </w:r>
            <w:r w:rsidR="00625AA2">
              <w:lastRenderedPageBreak/>
              <w:t>que sea propensa a fallos en algunos puntos.</w:t>
            </w:r>
          </w:p>
        </w:tc>
      </w:tr>
      <w:tr w:rsidR="001D3352" w:rsidTr="005866CD">
        <w:tc>
          <w:tcPr>
            <w:tcW w:w="4247" w:type="dxa"/>
          </w:tcPr>
          <w:p w:rsidR="001D3352" w:rsidRDefault="001D3352" w:rsidP="005866CD">
            <w:r>
              <w:lastRenderedPageBreak/>
              <w:t xml:space="preserve">Criterio B.5: </w:t>
            </w:r>
            <w:r w:rsidR="00A27E38">
              <w:t>Puesta en funcionamiento</w:t>
            </w:r>
          </w:p>
        </w:tc>
        <w:tc>
          <w:tcPr>
            <w:tcW w:w="4247" w:type="dxa"/>
          </w:tcPr>
          <w:p w:rsidR="001D3352" w:rsidRDefault="00A27E38" w:rsidP="005866CD">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FB2B6E" w:rsidTr="005866CD">
        <w:tc>
          <w:tcPr>
            <w:tcW w:w="4247" w:type="dxa"/>
          </w:tcPr>
          <w:p w:rsidR="00FB2B6E" w:rsidRDefault="00FB2B6E" w:rsidP="005866CD">
            <w:r>
              <w:t>Criterio B.</w:t>
            </w:r>
            <w:r w:rsidR="001D3352">
              <w:t>6</w:t>
            </w:r>
            <w:r>
              <w:t>: Facilidad de uso</w:t>
            </w:r>
          </w:p>
        </w:tc>
        <w:tc>
          <w:tcPr>
            <w:tcW w:w="4247" w:type="dxa"/>
          </w:tcPr>
          <w:p w:rsidR="00FB2B6E" w:rsidRDefault="00142D55" w:rsidP="005866CD">
            <w:r>
              <w:t xml:space="preserve">7/10; </w:t>
            </w:r>
            <w:r w:rsidR="00C11674">
              <w:t>Usabilidad ligada a la situación actual de la herramienta, WSO2 API Manager se encuentra en desarrollo, por lo que en ciertos escenarios su uso puede llegar a ser complejo.</w:t>
            </w:r>
          </w:p>
        </w:tc>
      </w:tr>
      <w:tr w:rsidR="00FB2B6E" w:rsidTr="005866CD">
        <w:tc>
          <w:tcPr>
            <w:tcW w:w="4247" w:type="dxa"/>
          </w:tcPr>
          <w:p w:rsidR="00FB2B6E" w:rsidRDefault="00FB2B6E" w:rsidP="005866CD">
            <w:r>
              <w:t>Criterio C.1: Periodo de prueba</w:t>
            </w:r>
          </w:p>
        </w:tc>
        <w:tc>
          <w:tcPr>
            <w:tcW w:w="4247" w:type="dxa"/>
          </w:tcPr>
          <w:p w:rsidR="00FB2B6E" w:rsidRDefault="00DA4B03" w:rsidP="005866CD">
            <w:proofErr w:type="gramStart"/>
            <w:r>
              <w:t>Sí,</w:t>
            </w:r>
            <w:r w:rsidR="00142D55">
              <w:t>WSO</w:t>
            </w:r>
            <w:proofErr w:type="gramEnd"/>
            <w:r w:rsidR="00142D55">
              <w:t>2 presenta un modelo Freemium, por lo que existe permanentemente una versión gratuita, la cual puede ser mejorada a nivel de soporte y funcionalidades mediante una suscripción.</w:t>
            </w:r>
          </w:p>
        </w:tc>
      </w:tr>
    </w:tbl>
    <w:p w:rsidR="0013253C" w:rsidRDefault="0013253C">
      <w:pPr>
        <w:jc w:val="left"/>
        <w:rPr>
          <w:rFonts w:eastAsiaTheme="majorEastAsia"/>
          <w:b/>
          <w:color w:val="000000" w:themeColor="text1"/>
          <w:sz w:val="28"/>
          <w:szCs w:val="28"/>
        </w:rPr>
      </w:pPr>
    </w:p>
    <w:p w:rsidR="005703EB" w:rsidRDefault="007928AD" w:rsidP="005703EB">
      <w:pPr>
        <w:pStyle w:val="Ttulo1"/>
      </w:pPr>
      <w:bookmarkStart w:id="22" w:name="_Toc445388871"/>
      <w:r>
        <w:t>5</w:t>
      </w:r>
      <w:r w:rsidR="005703EB">
        <w:t xml:space="preserve">. </w:t>
      </w:r>
      <w:r>
        <w:t>Comparación de las tecnologías</w:t>
      </w:r>
      <w:bookmarkEnd w:id="22"/>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72496D" w:rsidP="007928AD">
            <w:r>
              <w:t>B.3</w:t>
            </w:r>
          </w:p>
        </w:tc>
        <w:tc>
          <w:tcPr>
            <w:tcW w:w="2977" w:type="dxa"/>
          </w:tcPr>
          <w:p w:rsidR="001B528E" w:rsidRDefault="0072496D" w:rsidP="0072496D">
            <w:pPr>
              <w:jc w:val="center"/>
            </w:pPr>
            <w:r>
              <w:t>Bajo</w:t>
            </w:r>
          </w:p>
        </w:tc>
        <w:tc>
          <w:tcPr>
            <w:tcW w:w="3260" w:type="dxa"/>
          </w:tcPr>
          <w:p w:rsidR="001B528E" w:rsidRDefault="0072496D" w:rsidP="0072496D">
            <w:pPr>
              <w:jc w:val="center"/>
            </w:pPr>
            <w:r>
              <w:t>Alto</w:t>
            </w:r>
          </w:p>
        </w:tc>
        <w:tc>
          <w:tcPr>
            <w:tcW w:w="5777" w:type="dxa"/>
          </w:tcPr>
          <w:p w:rsidR="001B528E" w:rsidRDefault="0072496D" w:rsidP="007928AD">
            <w:r>
              <w:t xml:space="preserve">El carácter </w:t>
            </w:r>
            <w:proofErr w:type="spellStart"/>
            <w:r>
              <w:t>opensource</w:t>
            </w:r>
            <w:proofErr w:type="spellEnd"/>
            <w:r>
              <w:t xml:space="preserve"> que presenta WSO2 </w:t>
            </w:r>
            <w:r w:rsidR="00DA4B03">
              <w:t>favorece claramente las posibilidades de personalización de la herramienta en detrimento de la opción presentada por APIGEE</w:t>
            </w:r>
          </w:p>
        </w:tc>
      </w:tr>
      <w:tr w:rsidR="001B528E" w:rsidTr="001B528E">
        <w:tc>
          <w:tcPr>
            <w:tcW w:w="1980" w:type="dxa"/>
          </w:tcPr>
          <w:p w:rsidR="001B528E" w:rsidRDefault="0072496D" w:rsidP="007928AD">
            <w:r>
              <w:t>B.4</w:t>
            </w:r>
          </w:p>
        </w:tc>
        <w:tc>
          <w:tcPr>
            <w:tcW w:w="2977" w:type="dxa"/>
          </w:tcPr>
          <w:p w:rsidR="001B528E" w:rsidRDefault="0072496D" w:rsidP="0072496D">
            <w:pPr>
              <w:jc w:val="center"/>
            </w:pPr>
            <w:r>
              <w:t>8/10</w:t>
            </w:r>
          </w:p>
        </w:tc>
        <w:tc>
          <w:tcPr>
            <w:tcW w:w="3260" w:type="dxa"/>
          </w:tcPr>
          <w:p w:rsidR="001B528E" w:rsidRDefault="0072496D" w:rsidP="0072496D">
            <w:pPr>
              <w:jc w:val="center"/>
            </w:pPr>
            <w:r>
              <w:t>7/10</w:t>
            </w:r>
          </w:p>
        </w:tc>
        <w:tc>
          <w:tcPr>
            <w:tcW w:w="5777" w:type="dxa"/>
          </w:tcPr>
          <w:p w:rsidR="001B528E" w:rsidRDefault="0072496D" w:rsidP="007928AD">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1B528E" w:rsidTr="001B528E">
        <w:tc>
          <w:tcPr>
            <w:tcW w:w="1980" w:type="dxa"/>
          </w:tcPr>
          <w:p w:rsidR="001B528E" w:rsidRDefault="0072496D" w:rsidP="007928AD">
            <w:r>
              <w:t>B.5</w:t>
            </w:r>
          </w:p>
        </w:tc>
        <w:tc>
          <w:tcPr>
            <w:tcW w:w="2977" w:type="dxa"/>
          </w:tcPr>
          <w:p w:rsidR="001B528E" w:rsidRDefault="00DA4B03" w:rsidP="0072496D">
            <w:pPr>
              <w:jc w:val="center"/>
            </w:pPr>
            <w:r>
              <w:t>9/10</w:t>
            </w:r>
          </w:p>
        </w:tc>
        <w:tc>
          <w:tcPr>
            <w:tcW w:w="3260" w:type="dxa"/>
          </w:tcPr>
          <w:p w:rsidR="001B528E" w:rsidRDefault="00DA4B03" w:rsidP="0072496D">
            <w:pPr>
              <w:jc w:val="center"/>
            </w:pPr>
            <w:r>
              <w:t>6/10</w:t>
            </w:r>
          </w:p>
        </w:tc>
        <w:tc>
          <w:tcPr>
            <w:tcW w:w="5777" w:type="dxa"/>
          </w:tcPr>
          <w:p w:rsidR="001B528E" w:rsidRDefault="00E73460" w:rsidP="007928AD">
            <w:r>
              <w:t xml:space="preserve">Al ser accesible a través de la plataforma </w:t>
            </w:r>
            <w:proofErr w:type="spellStart"/>
            <w:r>
              <w:t>cloud</w:t>
            </w:r>
            <w:proofErr w:type="spellEnd"/>
            <w:r>
              <w:t xml:space="preserve"> de Google, APIGEE apenas presenta dificultades a la hora de inicializar y configurar la herramienta, mientras que en el caso de WSO2, </w:t>
            </w:r>
            <w:r w:rsidR="004D2A3E">
              <w:t xml:space="preserve">pese a que una configuración inicial se muestra como un proceso sencillo, su adaptación a situaciones más complejas la convierte en una tarea más tediosa. </w:t>
            </w:r>
          </w:p>
        </w:tc>
      </w:tr>
      <w:tr w:rsidR="001B528E" w:rsidTr="001B528E">
        <w:tc>
          <w:tcPr>
            <w:tcW w:w="1980" w:type="dxa"/>
          </w:tcPr>
          <w:p w:rsidR="001B528E" w:rsidRDefault="001B528E" w:rsidP="007928AD">
            <w:r>
              <w:t>B</w:t>
            </w:r>
            <w:r w:rsidR="0072496D">
              <w:t>.6</w:t>
            </w:r>
          </w:p>
        </w:tc>
        <w:tc>
          <w:tcPr>
            <w:tcW w:w="2977" w:type="dxa"/>
          </w:tcPr>
          <w:p w:rsidR="001B528E" w:rsidRDefault="00DA4B03" w:rsidP="0072496D">
            <w:pPr>
              <w:jc w:val="center"/>
            </w:pPr>
            <w:r>
              <w:t>9/10</w:t>
            </w:r>
          </w:p>
        </w:tc>
        <w:tc>
          <w:tcPr>
            <w:tcW w:w="3260" w:type="dxa"/>
          </w:tcPr>
          <w:p w:rsidR="001B528E" w:rsidRDefault="00DA4B03" w:rsidP="0072496D">
            <w:pPr>
              <w:jc w:val="center"/>
            </w:pPr>
            <w:r>
              <w:t>7/10</w:t>
            </w:r>
          </w:p>
        </w:tc>
        <w:tc>
          <w:tcPr>
            <w:tcW w:w="5777" w:type="dxa"/>
          </w:tcPr>
          <w:p w:rsidR="001B528E" w:rsidRDefault="00E73460" w:rsidP="007928AD">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1B528E" w:rsidTr="001B528E">
        <w:tc>
          <w:tcPr>
            <w:tcW w:w="1980" w:type="dxa"/>
          </w:tcPr>
          <w:p w:rsidR="001B528E" w:rsidRDefault="0072496D" w:rsidP="007928AD">
            <w:r>
              <w:t>C.1</w:t>
            </w:r>
          </w:p>
        </w:tc>
        <w:tc>
          <w:tcPr>
            <w:tcW w:w="2977" w:type="dxa"/>
          </w:tcPr>
          <w:p w:rsidR="001B528E" w:rsidRDefault="00DA4B03" w:rsidP="0072496D">
            <w:pPr>
              <w:jc w:val="center"/>
            </w:pPr>
            <w:r>
              <w:t>Sí</w:t>
            </w:r>
          </w:p>
        </w:tc>
        <w:tc>
          <w:tcPr>
            <w:tcW w:w="3260" w:type="dxa"/>
          </w:tcPr>
          <w:p w:rsidR="001B528E" w:rsidRDefault="00DA4B03" w:rsidP="0072496D">
            <w:pPr>
              <w:jc w:val="center"/>
            </w:pPr>
            <w:r>
              <w:t>Sí</w:t>
            </w:r>
          </w:p>
        </w:tc>
        <w:tc>
          <w:tcPr>
            <w:tcW w:w="5777" w:type="dxa"/>
          </w:tcPr>
          <w:p w:rsidR="001B528E" w:rsidRDefault="00DA4B03" w:rsidP="007928AD">
            <w:r>
              <w:t>Por un lado, APIGEE ofrece una versión de prueba de 30 días tras la cual se hace necesaria la selección de un plan de pago; mientras que</w:t>
            </w:r>
            <w:r w:rsidR="00E73460">
              <w:t>,</w:t>
            </w:r>
            <w:r>
              <w:t xml:space="preserve"> por otro lado, WSO2, al ser una plataforma de código abierto, ofrece acceso gratuito a la misma con la opción de contratar una suscripción premium que amplíe las funcionalidades.</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3" w:name="_Toc445388872"/>
      <w:r>
        <w:lastRenderedPageBreak/>
        <w:t>6. Recomendaciones</w:t>
      </w:r>
      <w:bookmarkEnd w:id="23"/>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4" w:name="_Toc445388873"/>
      <w:r>
        <w:t>6.1 Situación 1</w:t>
      </w:r>
      <w:bookmarkEnd w:id="24"/>
    </w:p>
    <w:p w:rsidR="00705384" w:rsidRDefault="00705384" w:rsidP="00705384">
      <w:pPr>
        <w:pStyle w:val="Ttulo3"/>
      </w:pPr>
      <w:bookmarkStart w:id="25" w:name="_Toc445388874"/>
      <w:r>
        <w:t>6.1.1 Descripción de la situación</w:t>
      </w:r>
      <w:bookmarkEnd w:id="25"/>
    </w:p>
    <w:p w:rsidR="0013253C" w:rsidRDefault="006F46D4" w:rsidP="0013253C">
      <w:r>
        <w:t xml:space="preserve">Se toma como ejemplo la posición de una pequeña empresa o Startup, la cual, ante el notable crecimiento que está experimentando el sector de los microservicios de software, decide aventurarse en dicho ámbito y desarrollar y comercializar sus propias </w:t>
      </w:r>
      <w:proofErr w:type="spellStart"/>
      <w:r>
        <w:t>APIs</w:t>
      </w:r>
      <w:proofErr w:type="spellEnd"/>
      <w:r>
        <w:t>. Para ello, se considera de vital importancia realizar la implementación de una plataforma de API Management que permita gestionar las mencionadas funciones, tomando como referencia las características principales de la compañía:</w:t>
      </w:r>
    </w:p>
    <w:p w:rsidR="006F46D4" w:rsidRDefault="00014CB3" w:rsidP="006F46D4">
      <w:pPr>
        <w:pStyle w:val="Prrafodelista"/>
        <w:numPr>
          <w:ilvl w:val="0"/>
          <w:numId w:val="5"/>
        </w:numPr>
      </w:pPr>
      <w:r>
        <w:t>Empresa en proceso de desarrollo y crecimiento, y como tal, débil capacidad económica</w:t>
      </w:r>
      <w:r w:rsidR="00006EC5">
        <w:t>.</w:t>
      </w:r>
    </w:p>
    <w:p w:rsidR="00014CB3" w:rsidRDefault="00014CB3" w:rsidP="006F46D4">
      <w:pPr>
        <w:pStyle w:val="Prrafodelista"/>
        <w:numPr>
          <w:ilvl w:val="0"/>
          <w:numId w:val="5"/>
        </w:numPr>
      </w:pPr>
      <w:r>
        <w:t>Reducido número de trabajadores</w:t>
      </w:r>
      <w:r w:rsidR="00006EC5">
        <w:t>.</w:t>
      </w:r>
    </w:p>
    <w:p w:rsidR="00014CB3" w:rsidRDefault="00014CB3" w:rsidP="006F46D4">
      <w:pPr>
        <w:pStyle w:val="Prrafodelista"/>
        <w:numPr>
          <w:ilvl w:val="0"/>
          <w:numId w:val="5"/>
        </w:numPr>
      </w:pPr>
      <w:r>
        <w:t>Profesionales sin formación avanzada en tecnologías de API Management</w:t>
      </w:r>
      <w:r w:rsidR="00006EC5">
        <w:t>.</w:t>
      </w:r>
    </w:p>
    <w:p w:rsidR="00014CB3" w:rsidRPr="006F46D4" w:rsidRDefault="00006EC5" w:rsidP="006F46D4">
      <w:pPr>
        <w:pStyle w:val="Prrafodelista"/>
        <w:numPr>
          <w:ilvl w:val="0"/>
          <w:numId w:val="5"/>
        </w:numPr>
      </w:pPr>
      <w:r>
        <w:t>No existe estructura organizativa de ningún tipo a este respecto.</w:t>
      </w:r>
      <w:bookmarkStart w:id="26" w:name="_GoBack"/>
      <w:bookmarkEnd w:id="26"/>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445388876"/>
      <w:r>
        <w:t>6.2 Situación 2</w:t>
      </w:r>
      <w:bookmarkEnd w:id="28"/>
    </w:p>
    <w:p w:rsidR="00705384" w:rsidRDefault="00705384" w:rsidP="00705384">
      <w:pPr>
        <w:pStyle w:val="Ttulo3"/>
      </w:pPr>
      <w:bookmarkStart w:id="29" w:name="_Toc445388877"/>
      <w:r>
        <w:t>6.2.1 Descripción de la situación</w:t>
      </w:r>
      <w:bookmarkEnd w:id="29"/>
    </w:p>
    <w:p w:rsidR="00705384" w:rsidRDefault="00705384" w:rsidP="00705384">
      <w:pPr>
        <w:pStyle w:val="Ttulo3"/>
      </w:pPr>
      <w:bookmarkStart w:id="30" w:name="_Toc445388878"/>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lastRenderedPageBreak/>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BEB" w:rsidRDefault="00E55BEB" w:rsidP="005703EB">
      <w:pPr>
        <w:spacing w:after="0" w:line="240" w:lineRule="auto"/>
      </w:pPr>
      <w:r>
        <w:separator/>
      </w:r>
    </w:p>
  </w:endnote>
  <w:endnote w:type="continuationSeparator" w:id="0">
    <w:p w:rsidR="00E55BEB" w:rsidRDefault="00E55BE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BEB" w:rsidRDefault="00E55BEB" w:rsidP="005703EB">
      <w:pPr>
        <w:spacing w:after="0" w:line="240" w:lineRule="auto"/>
      </w:pPr>
      <w:r>
        <w:separator/>
      </w:r>
    </w:p>
  </w:footnote>
  <w:footnote w:type="continuationSeparator" w:id="0">
    <w:p w:rsidR="00E55BEB" w:rsidRDefault="00E55BE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06EC5"/>
    <w:rsid w:val="000130CA"/>
    <w:rsid w:val="00014CB3"/>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42D55"/>
    <w:rsid w:val="00150836"/>
    <w:rsid w:val="00150D32"/>
    <w:rsid w:val="00153F76"/>
    <w:rsid w:val="00161810"/>
    <w:rsid w:val="00170D86"/>
    <w:rsid w:val="00176F9F"/>
    <w:rsid w:val="00184510"/>
    <w:rsid w:val="001A45FA"/>
    <w:rsid w:val="001A5AF1"/>
    <w:rsid w:val="001B3745"/>
    <w:rsid w:val="001B528E"/>
    <w:rsid w:val="001D3352"/>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03A"/>
    <w:rsid w:val="002F1756"/>
    <w:rsid w:val="00310DD8"/>
    <w:rsid w:val="00317B4B"/>
    <w:rsid w:val="00331C63"/>
    <w:rsid w:val="0033288A"/>
    <w:rsid w:val="0033324D"/>
    <w:rsid w:val="0033496A"/>
    <w:rsid w:val="00347FAC"/>
    <w:rsid w:val="00351003"/>
    <w:rsid w:val="00352FE8"/>
    <w:rsid w:val="003727FC"/>
    <w:rsid w:val="00391D60"/>
    <w:rsid w:val="00393AF8"/>
    <w:rsid w:val="003949B2"/>
    <w:rsid w:val="003A74C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2A3E"/>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17B8"/>
    <w:rsid w:val="005F2F2A"/>
    <w:rsid w:val="00605BA2"/>
    <w:rsid w:val="00625AA2"/>
    <w:rsid w:val="0064479B"/>
    <w:rsid w:val="00680A70"/>
    <w:rsid w:val="00683B24"/>
    <w:rsid w:val="006935FB"/>
    <w:rsid w:val="006A6BA0"/>
    <w:rsid w:val="006A7EA3"/>
    <w:rsid w:val="006B2110"/>
    <w:rsid w:val="006B6F61"/>
    <w:rsid w:val="006C00F1"/>
    <w:rsid w:val="006D062B"/>
    <w:rsid w:val="006D1055"/>
    <w:rsid w:val="006E0B8F"/>
    <w:rsid w:val="006E159A"/>
    <w:rsid w:val="006E6D1A"/>
    <w:rsid w:val="006F2258"/>
    <w:rsid w:val="006F2B11"/>
    <w:rsid w:val="006F3206"/>
    <w:rsid w:val="006F46D4"/>
    <w:rsid w:val="00705384"/>
    <w:rsid w:val="007063A9"/>
    <w:rsid w:val="007248E4"/>
    <w:rsid w:val="0072496D"/>
    <w:rsid w:val="00725AAF"/>
    <w:rsid w:val="00754515"/>
    <w:rsid w:val="00766203"/>
    <w:rsid w:val="00770917"/>
    <w:rsid w:val="007714EB"/>
    <w:rsid w:val="007748D6"/>
    <w:rsid w:val="00781C53"/>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7E3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15A5"/>
    <w:rsid w:val="00B61C38"/>
    <w:rsid w:val="00B72358"/>
    <w:rsid w:val="00BB065F"/>
    <w:rsid w:val="00BB1E72"/>
    <w:rsid w:val="00BC22D5"/>
    <w:rsid w:val="00BC313A"/>
    <w:rsid w:val="00BC3AAF"/>
    <w:rsid w:val="00BC4F9E"/>
    <w:rsid w:val="00BD264A"/>
    <w:rsid w:val="00BD4BC0"/>
    <w:rsid w:val="00BF0C76"/>
    <w:rsid w:val="00BF28F8"/>
    <w:rsid w:val="00C066C7"/>
    <w:rsid w:val="00C11674"/>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2B56"/>
    <w:rsid w:val="00D269C2"/>
    <w:rsid w:val="00D30CE5"/>
    <w:rsid w:val="00D5770E"/>
    <w:rsid w:val="00D6490A"/>
    <w:rsid w:val="00D7112D"/>
    <w:rsid w:val="00D7772F"/>
    <w:rsid w:val="00D90898"/>
    <w:rsid w:val="00DA2DDC"/>
    <w:rsid w:val="00DA4B03"/>
    <w:rsid w:val="00DA6CB1"/>
    <w:rsid w:val="00DC2F61"/>
    <w:rsid w:val="00DC4A2A"/>
    <w:rsid w:val="00DE4D83"/>
    <w:rsid w:val="00DE68B0"/>
    <w:rsid w:val="00DE71DE"/>
    <w:rsid w:val="00DF572A"/>
    <w:rsid w:val="00E00CFD"/>
    <w:rsid w:val="00E102E5"/>
    <w:rsid w:val="00E14486"/>
    <w:rsid w:val="00E30CCE"/>
    <w:rsid w:val="00E377F0"/>
    <w:rsid w:val="00E52271"/>
    <w:rsid w:val="00E55BEB"/>
    <w:rsid w:val="00E574AB"/>
    <w:rsid w:val="00E73460"/>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2B6E"/>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681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37F19-29A8-4DB1-98D7-16B3BD42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2155</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Francisco Sáez</cp:lastModifiedBy>
  <cp:revision>4</cp:revision>
  <dcterms:created xsi:type="dcterms:W3CDTF">2019-04-07T18:14:00Z</dcterms:created>
  <dcterms:modified xsi:type="dcterms:W3CDTF">2019-04-08T09:03:00Z</dcterms:modified>
</cp:coreProperties>
</file>