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Portfolio Site — Build Spec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laurakayharris.com  |  April 2026</w:t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single-page portfolio site with anchor navigation. Hybrid structure: scrollable sections connected by anchor links, with expandable case study cards that also support direct deep-linking. Built in React or vanilla JS. Mobile-first.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site has one job: give a referred founder enough trust to book a scoping call. It does this through four things in order — a clear positioning statement, strong case study proof, an interactive fit assessment, and a frictionless path to a conversation.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Site Structure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Five sections, one page, anchor nav. No sidebar. No blog. No separate pages except case study deep links (via anchor + auto-expand).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1: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2: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3: Work (case studies)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4: Fit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5: Footer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Navigation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Sticky top nav. Left: “Laura Harris” in primary brand font (name as brand mark, no logo). Right: anchor links — Work, About, Is this a fit? The last link scrolls to the fit assessment and is styled in coral to draw the eye.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mobile: hamburger menu or simplified nav with the same links. Keep it minimal.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Hero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Full-width section. Warm white background. Left-aligned text, generous vertical padding.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Headline (large, bold): “Fractional Product Manager for consumer startups.”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Subhead (medium, charcoal): “I work with DTC ecommerce, marketplace, and subscription businesses that have found product-market fit — and need senior growth PM ownership to scale it.”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CTAs side by side: Primary — “See if we’re a fit” (coral button, scrolls to Section 4). Secondary — “See my work” (outlined button, scrolls to Section 3).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the one bold visual moment for the hero. Consider a large typographic treatment — e.g. an oversized “7+” or “Growth” in the background, very light, not competing with the text.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hero image of Laura. No stock photography. Type and color do the work.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Coral accent on the primary CTA is the only color in this section — everything else is warm white and charcoal.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About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Short, human, confident. Not a resume summary. 3–4 sentences maximum. This section exists to give the visitor a sense of who Laura is before they see the work.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Suggested copy (edit as needed):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“I’ve spent the past 7+ years driving growth at consumer startups — building the first DTC ecommerce function at Burrow, leading growth product across a multi-sided healthcare marketplace at Rula, and most recently owning payments activation and monetization at GlossGenius. I do my best work untangling messy problems and figuring out what actually matters — and I use AI throughout my work to move faster once the right problem is in focus.”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Blush peach background on this section — creates a visual break from warm white without introducing a new color.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headshot required. If you add one later, keep it small and editorial — not a LinkedIn-style crop.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this section visually light. It’s a palette cleanser between hero and case studies.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Work (Case Studies)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of the site. Five case study cards in a grid. Each card is collapsed by default and expands inline on click. Each card also has a unique anchor link that scrolls to the card and auto-expands it on load.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Card grid layout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Desktop: 2-column grid, cards of equal width. First card (GlossGenius payments onboarding) spans full width as the lead case study — it’s the strongest result and should get the most visual weight. Remaining 4 cards in 2x2 grid below.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single column, full width cards, stacked vertically.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Collapsed card state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hierarchy top to bottom: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thumbnail — full card width, fixed height (~200px desktop, ~160px mobile). Image or branded color block (see imagery notes below).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name — small, muted, all-caps or spaced — feels like a label, not a headline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title — large, bold, charcoal — the primary read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One-line description — medium, secondary color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metric — large number in coral (e.g. “80%” or “345%”) with a short label below it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indicator — subtle downward chevron or “Read more” in coral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Hover state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Slight card lift (box shadow or border treatment in coral). Cursor pointer. Smooth transition.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Expanded card state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Expands inline below the collapsed header — the thumbnail and title stay visible, the full case study content appears below. A close/collapse button (X or “Collapse”) sits at the top right of the expanded content.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Expanded content sections in order: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→ Solution (prose)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(bullet list with metrics)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Challenges (bullet list)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(prose + images/screenshots)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Reflection (prose — italic, visually distinct)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Anchor link behavior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card has a unique ID (e.g. id=“gg-payments”, id=“gg-annual”, id=“rula-scheduling”, id=“rula-directory”, id=“burrow-promos”). When the page loads with an anchor in the URL (e.g. /#gg-payments), it scrolls to that card and auto-expands it. This enables direct sharing of individual case studies.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Case study card content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1 — GlossGenius: Payments Onboarding (lead, full width)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Thumbnail: branded color block — coral background, “80%” in large white type (or blurred/abstracted UI screenshot if available)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Company: GlossGenius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Payments Onboarding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Description: Redesigned a broken activation flow end-to-end through an iterative experimentation program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metric: 80% — onboarding completion lift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2 — GlossGenius: Annual Subscription Plans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Thumbnail: branded color block — blush peach background, subscription UI abstraction or key stat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Company: GlossGenius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Annual Subscription Plans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Description: Launched annual billing alongside a price increase, with a full subscription infrastructure migration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metric: Zero interruptions — full infrastructure migration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3 — Rula: Scheduling Tool for Phone Agents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Thumbnail: screenshot from Notion portfolio (calendar UI)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Company: Rula Health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Scheduling Tool for Phone Agents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Description: Built a tool for insurance agents to directly book in-network Rula appointments on behalf of patients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metric: 21% — patient growth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4 — Rula: Therapist Directory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Thumbnail: screenshot from Notion portfolio (directory UI)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Company: Rula Health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Therapist Directory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Description: Built an SEO-driven therapy provider directory that generated 1.7M net-new search impressions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metric: 345% — organic patient starts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5 — Burrow: Auto-Applied Promotion Codes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Thumbnail: screenshot from Notion portfolio (cart UI)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Company: Burrow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Auto-Applied Promotion Codes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Description: Automatically applied site-wide promo codes in cart, removing friction and improving conversion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metric: 41% — add-to-cart rate lift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Imagery notes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GlossGenius cards where UI is not public: use branded color blocks with a key stat as the visual. Examples: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Payments onboarding: coral background, “80%” in large white type, “onboarding completion” below in small white type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plans: blush peach background, charcoal type, subscription-related abstract graphic or just the stat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Rula and Burrow: use the screenshots already in your Notion portfolio. Crop to consistent aspect ratio (16:9 or 3:2 recommended).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thumbnails: consistent aspect ratio, consistent height in the collapsed card. No mixing of tall and wide images — use CSS object-fit: cover to enforce uniformity.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Fit Assessment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Interactive 6-question assessment. Full spec in separate document: fit_assessment_spec.docx. Summary of key decisions for the build: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header: “Is this a good fit?” — warm white background, centered, generous padding above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framing copy below header: “Answer 6 quick questions about your business and what you’re looking for. I’ll tell you if I’m the right person to help — and point you to the most relevant work.”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Assessment component below that — one question at a time, progress indicator, large tappable options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 displays inline — no new page. Strong fit / Possible fit / Not the right fit with explanation, relevant case study cards (title + one-line + link to anchor), and embedded Calendly for fit results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 colors: warm white background, coral for selected states and CTAs, blush peach for result cards, charcoal for all text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email gate. The calendar is the CTA.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Footer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Minimal. Charcoal background, warm white text.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Left: “Laura Harris” in brand font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Center: “Fractional Product Manager, Growth”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Right: laura@laurakayharris.com · LinkedIn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Bottom: “© 2026 Laura Harris” in small muted type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System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Color palette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9F6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5C8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7052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820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Warm white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#FAF9F6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Backgrounds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Blush peach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#FAD5C8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Surfaces / cards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#F07052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CTAs / accents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Charcoal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#2E2820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Text / dark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Typography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Headline font: strong serif (Cormorant Garamond, Canela, or GT Alpina) — used for hero headline, section headers, case study titles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 font: clean geometric sans (Inter or Plus Jakarta Sans) — used for all body copy, nav, labels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Weight contrast is key: headlines at light or regular weight feel editorial; body at regular weight, CTAs at medium/semibold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Fonts options (free): Cormorant Garamond + Inter is the recommended pairing — both available on Google Fonts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Spacing &amp; layout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content width: 1200px, centered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padding: 80px top and bottom on desktop, 48px on mobile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padding: 24px internal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gap: 24px between cards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 height: 64px, sticky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Interactive states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hover: subtle lift — transform: translateY(-2px), border: 1px solid coral, transition: 0.2s ease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 hover: coral darkens 10%, smooth transition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expand/collapse: smooth max-height transition (not display:none — use max-height for animation)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Fit assessment option selected: blush peach background, coral border, charcoal text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transitions: 0.2s ease — fast enough to feel responsive, slow enough to feel intentional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07052"/>
          <w:sz w:val="26"/>
          <w:szCs w:val="26"/>
        </w:rPr>
        <w:t xml:space="preserve">No gradients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brand decision: no gradients anywhere on the site. Color blocking only. Hard edges between sections. The transition from warm white to blush peach to charcoal is achieved through section background changes, not gradients.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Technical Notes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Framework: React (recommended) or vanilla HTML/CSS/JS. React preferred for the fit assessment state management.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Routing: no router needed. Single page. Anchor links only.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Anchor deep-linking: on page load, check window.location.hash, find matching card ID, scroll to it and set expanded state to true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Calendly embed: use Calendly’s inline embed widget (not popup). Add your Calendly URL to the result page. Renders inline without leaving the page.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breakpoint: 768px. Below this, single column layout, simplified nav, full-width cards.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backend required. Static site. Can be hosted on Vercel, Netlify, or GitHub Pages.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Images: use next/image (if Next.js) or standard img with loading=“lazy”. All thumbnails: consistent aspect ratio enforced with CSS object-fit: cover.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07052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Content Inventory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needed before build starts: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Ready now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positioning copy — hero headline, subhead, about section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GlossGenius: Payments Onboarding — full case study text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GlossGenius: Annual Subscription Plans — full case study text (with placeholders for final metrics)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Rula + Burrow case study text — in Notion, needs reformatting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 palette — locked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Typography pairing — Cormorant Garamond + Inter (Google Fonts)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Fit assessment — full spec ready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Still needed before launch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Thumbnail imagery for each card — screenshots or branded color blocks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Calendly link — set up Calendly account and get embed URL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GlossGenius metric placeholders filled in (baseline completion rate, Phase 2 verification lift)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Domain — laurakayharris.com (check availability and purchase if not already owned)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Hosting — Vercel recommended (free tier, deploys from GitHub)</w:t>
      </w:r>
    </w:p>
    <w:p>
      <w:pPr>
        <w:spacing w:after="60" w:before="60"/>
      </w:pPr>
      <w:r>
        <w:t xml:space="preserve"/>
      </w:r>
    </w:p>
    <w:p>
      <w:pPr>
        <w:pBdr>
          <w:bottom w:val="single" w:color="FAD5C8" w:sz="2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Spec finalized April 2026. Build in Claude Code. Single page, hybrid scroll + anchor structure, expandable case study cards with deep-link support, embedded fit assessment with Calendly CTA.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F070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2026-04-15T02:21:03.391Z</dcterms:created>
  <dcterms:modified xsi:type="dcterms:W3CDTF">2026-04-15T02:21:03.392Z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