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MEJORES SALARIOS EN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objeto del presente informe fue realizar un análisis sobre las respuestas a la encuesta realizada por </w:t>
      </w:r>
      <w:r w:rsidDel="00000000" w:rsidR="00000000" w:rsidRPr="00000000">
        <w:rPr>
          <w:sz w:val="20"/>
          <w:szCs w:val="20"/>
          <w:rtl w:val="0"/>
        </w:rPr>
        <w:t xml:space="preserve">sysarmy en el año 2020 relacionada a los salarios percibidos por programadores en Argentina.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bien se realizó un análisis global, la investigación se limitó a las respuestas relacionadas a los ingresos mensuales y los lenguajes de programación más relevantes.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una primera instancia se pudo observar que los salarios de los encuestados que tenían sus sueldos dolarizados eran superiores a los salarios en pesos argentinos, tal como puede visualizarse en siguiente gráfico: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29238" cy="298216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982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Paralelamente, se visualizaron</w:t>
      </w:r>
      <w:r w:rsidDel="00000000" w:rsidR="00000000" w:rsidRPr="00000000">
        <w:rPr>
          <w:sz w:val="20"/>
          <w:szCs w:val="20"/>
          <w:rtl w:val="0"/>
        </w:rPr>
        <w:t xml:space="preserve"> los 5 lenguajes de programación con mayor frecuencia obteniendo los siguientes resultados: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976438" cy="147697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1476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 relacionar los salarios brutos en dólares con los 5 lenguajes de programación anteriores se obtuvo que estos  tienen rangos de salarios semejantes, con una distribución asimétrica positiva. 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14913" cy="314056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140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 y Python son los programas que tienen una ligera ventaja salarial frente al resto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Otra variable que se analizó en conjunto con el salario mensual neto, son los años de experiencia. El siguiente gráfico permite visualizar </w:t>
      </w:r>
      <w:r w:rsidDel="00000000" w:rsidR="00000000" w:rsidRPr="00000000">
        <w:rPr>
          <w:sz w:val="20"/>
          <w:szCs w:val="20"/>
          <w:rtl w:val="0"/>
        </w:rPr>
        <w:t xml:space="preserve">que existe una correlación positiva entre estas dos variables. Se aprecia una tendencia de que el salario aumenta con los años de experiencia laboral.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otro lado, analizamos las modas de estas dos variables. Este análisis muestra que los años de experiencia más comunes son 8 y el salario más común es de $80.000.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after="240" w:before="240" w:line="325.71428571428567" w:lineRule="auto"/>
        <w:ind w:left="40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</w:rPr>
        <w:drawing>
          <wp:inline distB="114300" distT="114300" distL="114300" distR="114300">
            <wp:extent cx="3681413" cy="358280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3582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4" w:w="11909" w:orient="portrait"/>
      <w:pgMar w:bottom="1440.0000000000002" w:top="566.9291338582677" w:left="1440.0000000000002" w:right="1440.0000000000002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sz w:val="18"/>
        <w:szCs w:val="18"/>
      </w:rPr>
      <mc:AlternateContent>
        <mc:Choice Requires="wpg">
          <w:drawing>
            <wp:inline distB="114300" distT="114300" distL="114300" distR="114300">
              <wp:extent cx="5731200" cy="381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18025" y="118025"/>
                        <a:ext cx="6186000" cy="1980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6AA84F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731200" cy="38100"/>
              <wp:effectExtent b="0" l="0" r="0" t="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38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>
        <w:b w:val="1"/>
        <w:sz w:val="24"/>
        <w:szCs w:val="24"/>
        <w:rtl w:val="0"/>
      </w:rPr>
      <w:t xml:space="preserve">              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right"/>
      <w:rPr/>
    </w:pPr>
    <w:r w:rsidDel="00000000" w:rsidR="00000000" w:rsidRPr="00000000">
      <w:rPr>
        <w:b w:val="1"/>
        <w:sz w:val="18"/>
        <w:szCs w:val="18"/>
        <w:rtl w:val="0"/>
      </w:rPr>
      <w:t xml:space="preserve">                  </w:t>
    </w:r>
    <w:r w:rsidDel="00000000" w:rsidR="00000000" w:rsidRPr="00000000">
      <w:rPr>
        <w:b w:val="1"/>
        <w:sz w:val="18"/>
        <w:szCs w:val="18"/>
      </w:rPr>
      <mc:AlternateContent>
        <mc:Choice Requires="wpg">
          <w:drawing>
            <wp:inline distB="114300" distT="114300" distL="114300" distR="114300">
              <wp:extent cx="5731200" cy="381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18025" y="118025"/>
                        <a:ext cx="6186000" cy="1980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6AA84F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731200" cy="38100"/>
              <wp:effectExtent b="0" l="0" r="0" t="0"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38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b w:val="1"/>
        <w:sz w:val="18"/>
        <w:szCs w:val="18"/>
        <w:rtl w:val="0"/>
      </w:rPr>
      <w:t xml:space="preserve">                      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685925" cy="638175"/>
          <wp:effectExtent b="0" l="0" r="0" t="0"/>
          <wp:docPr id="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85925" cy="6381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after="240" w:before="240" w:lineRule="auto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ANALISIS  Y VISUALIZACION DE DATOS</w:t>
    </w:r>
  </w:p>
  <w:p w:rsidR="00000000" w:rsidDel="00000000" w:rsidP="00000000" w:rsidRDefault="00000000" w:rsidRPr="00000000" w14:paraId="00000014">
    <w:pPr>
      <w:spacing w:after="240" w:before="240" w:lineRule="auto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</w:rPr>
      <mc:AlternateContent>
        <mc:Choice Requires="wpg">
          <w:drawing>
            <wp:inline distB="114300" distT="114300" distL="114300" distR="114300">
              <wp:extent cx="5731200" cy="381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18025" y="118025"/>
                        <a:ext cx="6186000" cy="1980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6AA84F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731200" cy="38100"/>
              <wp:effectExtent b="0" l="0" r="0" t="0"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38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