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2F9C3" w14:textId="7105501C" w:rsidR="00270DAE" w:rsidRDefault="00270DAE" w:rsidP="00270DAE">
      <w:pPr>
        <w:spacing w:before="360" w:line="480" w:lineRule="auto"/>
        <w:rPr>
          <w:b/>
          <w:i/>
        </w:rPr>
      </w:pPr>
      <w:r>
        <w:rPr>
          <w:b/>
        </w:rPr>
        <w:t xml:space="preserve">Running Head: </w:t>
      </w:r>
      <w:r>
        <w:rPr>
          <w:b/>
          <w:i/>
        </w:rPr>
        <w:t>Carryover effects in the Olympia oyster</w:t>
      </w:r>
    </w:p>
    <w:p w14:paraId="77005E29" w14:textId="5B63BFD6" w:rsidR="00D64A77" w:rsidRDefault="001554ED" w:rsidP="00C56A3D">
      <w:pPr>
        <w:spacing w:before="480" w:line="480" w:lineRule="auto"/>
        <w:rPr>
          <w:b/>
          <w:i/>
        </w:rPr>
      </w:pPr>
      <w:r>
        <w:rPr>
          <w:b/>
        </w:rPr>
        <w:t xml:space="preserve">Title: </w:t>
      </w:r>
      <w:r>
        <w:rPr>
          <w:b/>
          <w:i/>
        </w:rPr>
        <w:t>Carryover effects of temperature and pCO</w:t>
      </w:r>
      <w:r>
        <w:rPr>
          <w:b/>
          <w:i/>
          <w:vertAlign w:val="subscript"/>
        </w:rPr>
        <w:t>2</w:t>
      </w:r>
      <w:r>
        <w:rPr>
          <w:b/>
          <w:i/>
        </w:rPr>
        <w:t xml:space="preserve"> across multiple Olympia oyster populations</w:t>
      </w:r>
    </w:p>
    <w:p w14:paraId="1BF13556" w14:textId="7863A57B" w:rsidR="00D64A77" w:rsidRDefault="001554ED" w:rsidP="00C56A3D">
      <w:pPr>
        <w:spacing w:before="360" w:line="480" w:lineRule="auto"/>
      </w:pPr>
      <w:r>
        <w:t>Laura H Spencer</w:t>
      </w:r>
      <w:r w:rsidR="005E7D94">
        <w:rPr>
          <w:rStyle w:val="FootnoteReference"/>
        </w:rPr>
        <w:footnoteReference w:id="1"/>
      </w:r>
      <w:r>
        <w:t xml:space="preserve">, </w:t>
      </w:r>
      <w:proofErr w:type="spellStart"/>
      <w:r>
        <w:t>Yaamini</w:t>
      </w:r>
      <w:proofErr w:type="spellEnd"/>
      <w:r>
        <w:t xml:space="preserve"> R Venkataraman</w:t>
      </w:r>
      <w:r>
        <w:rPr>
          <w:vertAlign w:val="superscript"/>
        </w:rPr>
        <w:t>1</w:t>
      </w:r>
      <w:r>
        <w:t>, Ryan Crim</w:t>
      </w:r>
      <w:r>
        <w:rPr>
          <w:vertAlign w:val="superscript"/>
        </w:rPr>
        <w:t>2</w:t>
      </w:r>
      <w:r>
        <w:t>, Stuart Ryan</w:t>
      </w:r>
      <w:r>
        <w:rPr>
          <w:vertAlign w:val="superscript"/>
        </w:rPr>
        <w:t>2</w:t>
      </w:r>
      <w:r>
        <w:t>, Micah J Horwith</w:t>
      </w:r>
      <w:r>
        <w:rPr>
          <w:vertAlign w:val="superscript"/>
        </w:rPr>
        <w:t>3</w:t>
      </w:r>
      <w:r>
        <w:t>, Steven B Roberts</w:t>
      </w:r>
      <w:r>
        <w:rPr>
          <w:vertAlign w:val="superscript"/>
        </w:rPr>
        <w:t>1</w:t>
      </w:r>
      <w:r>
        <w:t xml:space="preserve"> </w:t>
      </w:r>
    </w:p>
    <w:p w14:paraId="1B7F7B46" w14:textId="38ABBA6B" w:rsidR="00C56A3D" w:rsidRPr="00C56A3D" w:rsidRDefault="00C56A3D" w:rsidP="00C56A3D">
      <w:pPr>
        <w:suppressLineNumbers/>
        <w:spacing w:line="480" w:lineRule="auto"/>
      </w:pPr>
    </w:p>
    <w:p w14:paraId="5052E9E9" w14:textId="75DBF2EF" w:rsidR="00D64A77" w:rsidRDefault="001554ED" w:rsidP="001554ED">
      <w:pPr>
        <w:spacing w:line="480" w:lineRule="auto"/>
      </w:pPr>
      <w:r>
        <w:rPr>
          <w:b/>
        </w:rPr>
        <w:t xml:space="preserve">Corresponding author: </w:t>
      </w:r>
      <w:r w:rsidR="00611518">
        <w:t>Steven B Roberts</w:t>
      </w:r>
      <w:r>
        <w:t xml:space="preserve">, </w:t>
      </w:r>
      <w:hyperlink r:id="rId8" w:history="1">
        <w:r w:rsidR="00611518" w:rsidRPr="00D031F5">
          <w:rPr>
            <w:rStyle w:val="Hyperlink"/>
          </w:rPr>
          <w:t>sr320@uw.edu</w:t>
        </w:r>
      </w:hyperlink>
      <w:r w:rsidR="00611518">
        <w:t xml:space="preserve">, </w:t>
      </w:r>
      <w:hyperlink r:id="rId9" w:history="1">
        <w:r w:rsidR="00BF0576" w:rsidRPr="00BF0576">
          <w:rPr>
            <w:rStyle w:val="Hyperlink"/>
          </w:rPr>
          <w:t>206-685-3742</w:t>
        </w:r>
      </w:hyperlink>
    </w:p>
    <w:p w14:paraId="50C31153" w14:textId="60C79264" w:rsidR="00486336" w:rsidRDefault="00486336" w:rsidP="00486336">
      <w:pPr>
        <w:suppressLineNumbers/>
      </w:pPr>
      <w:r>
        <w:br w:type="page"/>
      </w:r>
    </w:p>
    <w:p w14:paraId="6347F31F" w14:textId="77777777" w:rsidR="001554ED" w:rsidRPr="001554ED" w:rsidRDefault="001554ED" w:rsidP="001554ED">
      <w:pPr>
        <w:suppressLineNumbers/>
        <w:spacing w:line="480" w:lineRule="auto"/>
      </w:pPr>
    </w:p>
    <w:p w14:paraId="17E472B4" w14:textId="77777777" w:rsidR="00D64A77" w:rsidRDefault="001554ED" w:rsidP="001554ED">
      <w:pPr>
        <w:spacing w:line="480" w:lineRule="auto"/>
        <w:rPr>
          <w:b/>
          <w:sz w:val="36"/>
          <w:szCs w:val="36"/>
        </w:rPr>
      </w:pPr>
      <w:r>
        <w:rPr>
          <w:b/>
          <w:sz w:val="36"/>
          <w:szCs w:val="36"/>
        </w:rPr>
        <w:t xml:space="preserve">Abstract </w:t>
      </w:r>
    </w:p>
    <w:p w14:paraId="32111BD0" w14:textId="7126CA5A" w:rsidR="00D64A77" w:rsidRDefault="00F70B65" w:rsidP="00BF0576">
      <w:pPr>
        <w:spacing w:line="480" w:lineRule="auto"/>
      </w:pPr>
      <w:r>
        <w:t xml:space="preserve">Predicting how populations will respond to ocean change across generations is critical to effective conservation of marine species. </w:t>
      </w:r>
      <w:r w:rsidR="008C5B20">
        <w:t xml:space="preserve">One </w:t>
      </w:r>
      <w:r w:rsidR="00BB45FC">
        <w:t xml:space="preserve">emerging factor is the influence of parental exposures </w:t>
      </w:r>
      <w:r w:rsidR="00DB1A18">
        <w:t>on</w:t>
      </w:r>
      <w:r w:rsidR="00BB45FC">
        <w:t xml:space="preserve"> offspring phenotype, known as intergenerational carryover</w:t>
      </w:r>
      <w:r w:rsidR="00DB1A18">
        <w:t xml:space="preserve"> effects</w:t>
      </w:r>
      <w:r w:rsidR="00BB45FC">
        <w:t xml:space="preserve">. </w:t>
      </w:r>
      <w:r w:rsidR="00DB1A18">
        <w:t xml:space="preserve">Parental exposure </w:t>
      </w:r>
      <w:r w:rsidR="00BB45FC">
        <w:t>may deliver beneficial or detrimental characteristics to offspring</w:t>
      </w:r>
      <w:r w:rsidR="00DB1A18">
        <w:t xml:space="preserve"> </w:t>
      </w:r>
      <w:r w:rsidR="00D93AA7">
        <w:t>that can</w:t>
      </w:r>
      <w:r w:rsidR="00DB1A18">
        <w:t xml:space="preserve"> </w:t>
      </w:r>
      <w:r w:rsidR="00BB45FC">
        <w:t>influence larval recruitment patterns</w:t>
      </w:r>
      <w:r w:rsidR="000F63FA">
        <w:t>,</w:t>
      </w:r>
      <w:r w:rsidR="00474F08">
        <w:t xml:space="preserve"> </w:t>
      </w:r>
      <w:r w:rsidR="00D93AA7">
        <w:t>thus shaping how populations and</w:t>
      </w:r>
      <w:r w:rsidR="00474F08">
        <w:t xml:space="preserve"> community structure</w:t>
      </w:r>
      <w:r w:rsidR="00D93AA7">
        <w:t xml:space="preserve"> </w:t>
      </w:r>
      <w:r w:rsidR="00DB1A18">
        <w:t>respond to ocean change</w:t>
      </w:r>
      <w:r w:rsidR="00BB45FC">
        <w:t xml:space="preserve">. </w:t>
      </w:r>
      <w:r w:rsidR="001554ED">
        <w:t>Impacts of adult exposure to elevated winter temperature and</w:t>
      </w:r>
      <w:r w:rsidR="000F63FA">
        <w:t xml:space="preserve"> pCO</w:t>
      </w:r>
      <w:r w:rsidR="000F63FA" w:rsidRPr="000F63FA">
        <w:rPr>
          <w:vertAlign w:val="subscript"/>
        </w:rPr>
        <w:t>2</w:t>
      </w:r>
      <w:r w:rsidR="001554ED">
        <w:t xml:space="preserve"> on reproduction and offspring viability were examined in the Olympia oyster (</w:t>
      </w:r>
      <w:proofErr w:type="spellStart"/>
      <w:r w:rsidR="001554ED">
        <w:rPr>
          <w:i/>
        </w:rPr>
        <w:t>Ostrea</w:t>
      </w:r>
      <w:proofErr w:type="spellEnd"/>
      <w:r w:rsidR="001554ED">
        <w:rPr>
          <w:i/>
        </w:rPr>
        <w:t xml:space="preserve"> </w:t>
      </w:r>
      <w:proofErr w:type="spellStart"/>
      <w:r w:rsidR="001554ED">
        <w:rPr>
          <w:i/>
        </w:rPr>
        <w:t>lurida</w:t>
      </w:r>
      <w:proofErr w:type="spellEnd"/>
      <w:r w:rsidR="001554ED">
        <w:t>)</w:t>
      </w:r>
      <w:r w:rsidR="00D93AA7">
        <w:t xml:space="preserve"> using</w:t>
      </w:r>
      <w:r w:rsidR="001554ED">
        <w:t xml:space="preserve"> </w:t>
      </w:r>
      <w:r w:rsidR="00D93AA7">
        <w:t>t</w:t>
      </w:r>
      <w:r w:rsidR="001554ED">
        <w:t>hree populations of adult, hatchery-reared</w:t>
      </w:r>
      <w:r w:rsidR="001554ED">
        <w:rPr>
          <w:i/>
        </w:rPr>
        <w:t xml:space="preserve"> O. </w:t>
      </w:r>
      <w:proofErr w:type="spellStart"/>
      <w:r w:rsidR="001554ED">
        <w:rPr>
          <w:i/>
        </w:rPr>
        <w:t>lurida</w:t>
      </w:r>
      <w:proofErr w:type="spellEnd"/>
      <w:r w:rsidR="001554ED">
        <w:rPr>
          <w:i/>
        </w:rPr>
        <w:t xml:space="preserve">, </w:t>
      </w:r>
      <w:r w:rsidR="001554ED">
        <w:t>plus an additional cohort spawned from one of the populations</w:t>
      </w:r>
      <w:r w:rsidR="00D93AA7">
        <w:t>. Oysters</w:t>
      </w:r>
      <w:r w:rsidR="001554ED">
        <w:t xml:space="preserve"> were sequentially exposed to elevated temperature (+4°C, at 10°C), followed by elevated pCO</w:t>
      </w:r>
      <w:r w:rsidR="001554ED">
        <w:rPr>
          <w:vertAlign w:val="subscript"/>
        </w:rPr>
        <w:t>2</w:t>
      </w:r>
      <w:r w:rsidR="001554ED">
        <w:t xml:space="preserve"> (+2204 µ</w:t>
      </w:r>
      <w:proofErr w:type="spellStart"/>
      <w:r w:rsidR="001554ED">
        <w:t>atm</w:t>
      </w:r>
      <w:proofErr w:type="spellEnd"/>
      <w:r w:rsidR="001554ED">
        <w:t>, at 3045 µ</w:t>
      </w:r>
      <w:proofErr w:type="spellStart"/>
      <w:r w:rsidR="001554ED">
        <w:t>atm</w:t>
      </w:r>
      <w:proofErr w:type="spellEnd"/>
      <w:r w:rsidR="001554ED">
        <w:t>) during winter months. Male gametes were more developed after elevated temperature exposure and less developed after high pCO</w:t>
      </w:r>
      <w:r w:rsidR="001554ED">
        <w:rPr>
          <w:vertAlign w:val="subscript"/>
        </w:rPr>
        <w:t>2</w:t>
      </w:r>
      <w:r w:rsidR="001554ED">
        <w:t xml:space="preserve"> exposure, but there was no impact on female gametes or sex ratios. Oysters previously exposed to elevated winter temperature released larvae earlier, regardless of pCO</w:t>
      </w:r>
      <w:r w:rsidR="001554ED">
        <w:rPr>
          <w:vertAlign w:val="subscript"/>
        </w:rPr>
        <w:t xml:space="preserve">2 </w:t>
      </w:r>
      <w:r w:rsidR="001554ED">
        <w:t xml:space="preserve">exposure. Those exposed to elevated winter temperature as a sole treatment </w:t>
      </w:r>
      <w:r w:rsidR="00F50CA0">
        <w:t xml:space="preserve">released </w:t>
      </w:r>
      <w:r w:rsidR="000379C3">
        <w:t>more larvae on a daily basis</w:t>
      </w:r>
      <w:r w:rsidR="001554ED">
        <w:t>, but when also exposed to high pCO</w:t>
      </w:r>
      <w:r w:rsidR="001554ED">
        <w:rPr>
          <w:vertAlign w:val="subscript"/>
        </w:rPr>
        <w:t>2</w:t>
      </w:r>
      <w:r w:rsidR="001554ED">
        <w:t xml:space="preserve"> there was no effect. These combined results indicate that elevated winter temperature accelerates </w:t>
      </w:r>
      <w:r w:rsidR="001554ED">
        <w:rPr>
          <w:i/>
        </w:rPr>
        <w:t xml:space="preserve">O. </w:t>
      </w:r>
      <w:proofErr w:type="spellStart"/>
      <w:r w:rsidR="001554ED">
        <w:rPr>
          <w:i/>
        </w:rPr>
        <w:t>lurida</w:t>
      </w:r>
      <w:proofErr w:type="spellEnd"/>
      <w:r w:rsidR="001554ED">
        <w:t xml:space="preserve"> spermatogenesis, resulting in earlier larval release and increased production, with elevated pCO</w:t>
      </w:r>
      <w:r w:rsidR="001554ED">
        <w:rPr>
          <w:vertAlign w:val="subscript"/>
        </w:rPr>
        <w:t>2</w:t>
      </w:r>
      <w:r w:rsidR="001554ED">
        <w:t xml:space="preserve"> exposure negating effects of elevated temperature. </w:t>
      </w:r>
      <w:r w:rsidR="00474F08">
        <w:t>Altered recruitment patterns may therefore follow warmer winters due to precocious spawning, but these effects may be masked by coincidental high pCO</w:t>
      </w:r>
      <w:r w:rsidR="00474F08">
        <w:rPr>
          <w:vertAlign w:val="subscript"/>
        </w:rPr>
        <w:t>2</w:t>
      </w:r>
      <w:r w:rsidR="00474F08">
        <w:t xml:space="preserve">. </w:t>
      </w:r>
      <w:r w:rsidR="001554ED">
        <w:t>Offspring were reared in common conditions for one year, then deployed for three months</w:t>
      </w:r>
      <w:r w:rsidR="00D90DA6">
        <w:t xml:space="preserve"> in four </w:t>
      </w:r>
      <w:r w:rsidR="007C4A19">
        <w:t xml:space="preserve">estuarine </w:t>
      </w:r>
      <w:r w:rsidR="00D90DA6">
        <w:t xml:space="preserve">bays </w:t>
      </w:r>
      <w:r w:rsidR="007C4A19">
        <w:t xml:space="preserve">with distinct </w:t>
      </w:r>
      <w:r w:rsidR="00D90DA6">
        <w:t>environmental conditions</w:t>
      </w:r>
      <w:r w:rsidR="001554ED">
        <w:t>. Offspring of parents exposed to elevated pCO</w:t>
      </w:r>
      <w:r w:rsidR="001554ED">
        <w:rPr>
          <w:vertAlign w:val="subscript"/>
        </w:rPr>
        <w:t>2</w:t>
      </w:r>
      <w:r w:rsidR="001554ED">
        <w:t xml:space="preserve"> had </w:t>
      </w:r>
      <w:r w:rsidR="001554ED">
        <w:lastRenderedPageBreak/>
        <w:t>higher survival rates in two of the four bays. This carryover effect demonstrates that</w:t>
      </w:r>
      <w:r w:rsidR="004D14D7">
        <w:t xml:space="preserve"> </w:t>
      </w:r>
      <w:r w:rsidR="001554ED">
        <w:t xml:space="preserve">parental conditions can have substantial ecologically relevant impacts that should be considered when predicting impacts of environmental change. </w:t>
      </w:r>
      <w:r>
        <w:t>Furthermore,</w:t>
      </w:r>
      <w:r w:rsidR="004D14D7">
        <w:t xml:space="preserve"> </w:t>
      </w:r>
      <w:r>
        <w:t>Olympia oyster</w:t>
      </w:r>
      <w:r w:rsidR="004D14D7">
        <w:t>s</w:t>
      </w:r>
      <w:r>
        <w:t xml:space="preserve"> may</w:t>
      </w:r>
      <w:r w:rsidR="004D14D7">
        <w:t xml:space="preserve"> be more resilient </w:t>
      </w:r>
      <w:r w:rsidR="008A5CC2">
        <w:t xml:space="preserve">in certain environments </w:t>
      </w:r>
      <w:r w:rsidR="004D14D7">
        <w:t>when progenitors are pre-conditioned in stressful conditions</w:t>
      </w:r>
      <w:r w:rsidR="008A5CC2">
        <w:t>. C</w:t>
      </w:r>
      <w:r w:rsidR="004D14D7">
        <w:t>ombined with other recent studies</w:t>
      </w:r>
      <w:r w:rsidR="008A5CC2">
        <w:t>, our work</w:t>
      </w:r>
      <w:r w:rsidR="004D14D7">
        <w:t xml:space="preserve"> suggests that the Olympia may be more equipped than other oysters for the challenge of a changing ocean. </w:t>
      </w:r>
    </w:p>
    <w:p w14:paraId="5564CBC9" w14:textId="77777777" w:rsidR="00D64A77" w:rsidRDefault="00D64A77" w:rsidP="00C56A3D">
      <w:pPr>
        <w:suppressLineNumbers/>
        <w:spacing w:line="480" w:lineRule="auto"/>
      </w:pPr>
    </w:p>
    <w:p w14:paraId="16EAB3F7" w14:textId="78656450" w:rsidR="00D64A77" w:rsidRDefault="001554ED" w:rsidP="00C56A3D">
      <w:pPr>
        <w:spacing w:line="480" w:lineRule="auto"/>
      </w:pPr>
      <w:r>
        <w:rPr>
          <w:b/>
        </w:rPr>
        <w:t xml:space="preserve">Keywords: </w:t>
      </w:r>
      <w:proofErr w:type="spellStart"/>
      <w:r>
        <w:t>Ostrea</w:t>
      </w:r>
      <w:proofErr w:type="spellEnd"/>
      <w:r w:rsidR="00DD741D">
        <w:t xml:space="preserve"> </w:t>
      </w:r>
      <w:proofErr w:type="spellStart"/>
      <w:r w:rsidR="00DD741D">
        <w:t>lurida</w:t>
      </w:r>
      <w:proofErr w:type="spellEnd"/>
      <w:r w:rsidR="00DD741D">
        <w:t xml:space="preserve">, </w:t>
      </w:r>
      <w:r>
        <w:t>acidification, pH,</w:t>
      </w:r>
      <w:r w:rsidR="0085655B">
        <w:t xml:space="preserve"> warming</w:t>
      </w:r>
      <w:r>
        <w:t>, winter</w:t>
      </w:r>
      <w:r w:rsidR="0085655B">
        <w:t>, reproduction</w:t>
      </w:r>
      <w:r>
        <w:t xml:space="preserve">, phenology, intergenerational, </w:t>
      </w:r>
      <w:r w:rsidR="0085655B">
        <w:t xml:space="preserve">transgenerational, </w:t>
      </w:r>
      <w:r>
        <w:t>climate change</w:t>
      </w:r>
    </w:p>
    <w:p w14:paraId="4506CB52" w14:textId="77777777" w:rsidR="00D64A77" w:rsidRDefault="00D64A77" w:rsidP="00C56A3D">
      <w:pPr>
        <w:suppressLineNumbers/>
        <w:spacing w:line="480" w:lineRule="auto"/>
        <w:rPr>
          <w:b/>
        </w:rPr>
      </w:pPr>
    </w:p>
    <w:p w14:paraId="573A685A" w14:textId="744D5C9D" w:rsidR="00D64A77" w:rsidRPr="00C56A3D" w:rsidRDefault="001554ED" w:rsidP="00C56A3D">
      <w:pPr>
        <w:spacing w:line="480" w:lineRule="auto"/>
        <w:rPr>
          <w:b/>
          <w:sz w:val="36"/>
          <w:szCs w:val="36"/>
        </w:rPr>
      </w:pPr>
      <w:r>
        <w:rPr>
          <w:b/>
          <w:sz w:val="36"/>
          <w:szCs w:val="36"/>
        </w:rPr>
        <w:t>Introduction</w:t>
      </w:r>
    </w:p>
    <w:p w14:paraId="6AF63D3F" w14:textId="310DDFA7" w:rsidR="004263FA" w:rsidRPr="00026336" w:rsidRDefault="001554ED" w:rsidP="00026336">
      <w:pPr>
        <w:spacing w:line="480" w:lineRule="auto"/>
        <w:ind w:firstLine="720"/>
      </w:pPr>
      <w:r>
        <w:t xml:space="preserve">The repercussions of ocean warming and acidification on marine invertebrate physiology are complex, but significant recent advances indicate that </w:t>
      </w:r>
      <w:r w:rsidR="002033D0">
        <w:t>larval</w:t>
      </w:r>
      <w:r>
        <w:t xml:space="preserve"> stages of </w:t>
      </w:r>
      <w:r w:rsidR="00DA6E60">
        <w:t xml:space="preserve">marine </w:t>
      </w:r>
      <w:r>
        <w:t xml:space="preserve">taxa are particularly vulnerable </w:t>
      </w:r>
      <w:hyperlink r:id="rId10">
        <w:r>
          <w:rPr>
            <w:color w:val="000000"/>
          </w:rPr>
          <w:t xml:space="preserve">(Byrne &amp; </w:t>
        </w:r>
        <w:proofErr w:type="spellStart"/>
        <w:r>
          <w:rPr>
            <w:color w:val="000000"/>
          </w:rPr>
          <w:t>Przeslawski</w:t>
        </w:r>
        <w:proofErr w:type="spellEnd"/>
        <w:r>
          <w:rPr>
            <w:color w:val="000000"/>
          </w:rPr>
          <w:t xml:space="preserve">, 2013; </w:t>
        </w:r>
        <w:proofErr w:type="spellStart"/>
        <w:r>
          <w:rPr>
            <w:color w:val="000000"/>
          </w:rPr>
          <w:t>Kurihara</w:t>
        </w:r>
        <w:proofErr w:type="spellEnd"/>
        <w:r>
          <w:rPr>
            <w:color w:val="000000"/>
          </w:rPr>
          <w:t xml:space="preserve">, 2008; </w:t>
        </w:r>
        <w:proofErr w:type="spellStart"/>
        <w:r>
          <w:rPr>
            <w:color w:val="000000"/>
          </w:rPr>
          <w:t>Przeslawski</w:t>
        </w:r>
        <w:proofErr w:type="spellEnd"/>
        <w:r>
          <w:rPr>
            <w:color w:val="000000"/>
          </w:rPr>
          <w:t xml:space="preserve">, Byrne, &amp; </w:t>
        </w:r>
        <w:proofErr w:type="spellStart"/>
        <w:r>
          <w:rPr>
            <w:color w:val="000000"/>
          </w:rPr>
          <w:t>Mellin</w:t>
        </w:r>
        <w:proofErr w:type="spellEnd"/>
        <w:r>
          <w:rPr>
            <w:color w:val="000000"/>
          </w:rPr>
          <w:t>, 2015)</w:t>
        </w:r>
      </w:hyperlink>
      <w:r>
        <w:t xml:space="preserve">. </w:t>
      </w:r>
      <w:r w:rsidR="001B4F88">
        <w:t xml:space="preserve">Understanding how shifting conditions will influence </w:t>
      </w:r>
      <w:r w:rsidR="00967B68">
        <w:t xml:space="preserve">larval </w:t>
      </w:r>
      <w:r w:rsidR="001B4F88">
        <w:t>recruitment</w:t>
      </w:r>
      <w:r w:rsidR="00967B68">
        <w:t xml:space="preserve"> </w:t>
      </w:r>
      <w:r w:rsidR="00242447">
        <w:t xml:space="preserve">patterns </w:t>
      </w:r>
      <w:r w:rsidR="00967B68">
        <w:t xml:space="preserve">is </w:t>
      </w:r>
      <w:r w:rsidR="001B4F88">
        <w:t>critical to predicting changing population dynamics, and thus community structure. One</w:t>
      </w:r>
      <w:r w:rsidR="00967B68">
        <w:t xml:space="preserve"> emerging</w:t>
      </w:r>
      <w:r w:rsidR="001B4F88">
        <w:t xml:space="preserve"> </w:t>
      </w:r>
      <w:r w:rsidR="00C87570">
        <w:t>consideration</w:t>
      </w:r>
      <w:r w:rsidR="00E354C3">
        <w:t xml:space="preserve"> is</w:t>
      </w:r>
      <w:r>
        <w:t xml:space="preserve"> whether </w:t>
      </w:r>
      <w:r w:rsidR="001B4F88">
        <w:t xml:space="preserve">larval </w:t>
      </w:r>
      <w:r>
        <w:t>stages benefit from ancestral exposures, based on evidence that memory of environmental stressors can be transferred between generations</w:t>
      </w:r>
      <w:r w:rsidR="00026336">
        <w:t xml:space="preserve"> through </w:t>
      </w:r>
      <w:r w:rsidR="00C87570">
        <w:t xml:space="preserve">non-genetic inheritance </w:t>
      </w:r>
      <w:r w:rsidR="00026336">
        <w:t>(</w:t>
      </w:r>
      <w:r w:rsidR="00DD741D">
        <w:t>reviewed in</w:t>
      </w:r>
      <w:r w:rsidR="00026336">
        <w:t xml:space="preserve"> </w:t>
      </w:r>
      <w:r w:rsidR="00C87570">
        <w:t xml:space="preserve">Perez &amp; Lehner, 2019; </w:t>
      </w:r>
      <w:r w:rsidR="00026336">
        <w:t xml:space="preserve">Donelson </w:t>
      </w:r>
      <w:r w:rsidR="00026336" w:rsidRPr="00242447">
        <w:rPr>
          <w:i/>
        </w:rPr>
        <w:t>et al.</w:t>
      </w:r>
      <w:r w:rsidR="00026336">
        <w:t xml:space="preserve"> 2018; </w:t>
      </w:r>
      <w:proofErr w:type="spellStart"/>
      <w:r w:rsidR="00026336">
        <w:t>Eirin</w:t>
      </w:r>
      <w:proofErr w:type="spellEnd"/>
      <w:r w:rsidR="00026336">
        <w:t>-Lopez &amp; Putnam, 2019</w:t>
      </w:r>
      <w:r w:rsidR="005F6CB1">
        <w:t xml:space="preserve">; </w:t>
      </w:r>
      <w:r w:rsidR="005F6CB1" w:rsidRPr="005F6CB1">
        <w:t>Ross, Parker, &amp; Byrne, 2016)</w:t>
      </w:r>
      <w:r w:rsidR="005F6CB1">
        <w:t>.</w:t>
      </w:r>
      <w:r w:rsidR="00026336">
        <w:t xml:space="preserve"> </w:t>
      </w:r>
      <w:r>
        <w:t xml:space="preserve">Beneficial, or positive, carryover effects may be important </w:t>
      </w:r>
      <w:proofErr w:type="spellStart"/>
      <w:r>
        <w:t>acclimatory</w:t>
      </w:r>
      <w:proofErr w:type="spellEnd"/>
      <w:r>
        <w:t xml:space="preserve"> mechanisms for marine </w:t>
      </w:r>
      <w:r w:rsidR="00C87570">
        <w:t>organisms facing rapid change</w:t>
      </w:r>
      <w:r>
        <w:t>, particularly those that evolved in dynamic environments</w:t>
      </w:r>
      <w:r w:rsidR="00464AFD">
        <w:t xml:space="preserve"> like</w:t>
      </w:r>
      <w:r>
        <w:t xml:space="preserve"> estuaries and the intertidal </w:t>
      </w:r>
      <w:hyperlink r:id="rId11">
        <w:r>
          <w:rPr>
            <w:color w:val="000000"/>
          </w:rPr>
          <w:t xml:space="preserve">(Donelson, Salinas, </w:t>
        </w:r>
        <w:proofErr w:type="spellStart"/>
        <w:r>
          <w:rPr>
            <w:color w:val="000000"/>
          </w:rPr>
          <w:t>Munday</w:t>
        </w:r>
        <w:proofErr w:type="spellEnd"/>
        <w:r>
          <w:rPr>
            <w:color w:val="000000"/>
          </w:rPr>
          <w:t xml:space="preserve">, &amp; </w:t>
        </w:r>
        <w:proofErr w:type="spellStart"/>
        <w:r>
          <w:rPr>
            <w:color w:val="000000"/>
          </w:rPr>
          <w:t>Shama</w:t>
        </w:r>
        <w:proofErr w:type="spellEnd"/>
        <w:r>
          <w:rPr>
            <w:color w:val="000000"/>
          </w:rPr>
          <w:t xml:space="preserve">, 2018; </w:t>
        </w:r>
        <w:proofErr w:type="spellStart"/>
        <w:r>
          <w:rPr>
            <w:color w:val="000000"/>
          </w:rPr>
          <w:t>Gavery</w:t>
        </w:r>
        <w:proofErr w:type="spellEnd"/>
        <w:r>
          <w:rPr>
            <w:color w:val="000000"/>
          </w:rPr>
          <w:t xml:space="preserve"> &amp; Roberts, 2014)</w:t>
        </w:r>
      </w:hyperlink>
      <w:r>
        <w:t xml:space="preserve">. These carryover effects are defined as </w:t>
      </w:r>
      <w:r>
        <w:lastRenderedPageBreak/>
        <w:t>transgenerational when they persist in generations that were never directly exposed. Intergenerational, or parental, effects may be due to direct exposure as germ cell</w:t>
      </w:r>
      <w:r w:rsidR="00F157BC">
        <w:t>s</w:t>
      </w:r>
      <w:r>
        <w:t xml:space="preserve"> </w:t>
      </w:r>
      <w:hyperlink r:id="rId12">
        <w:r>
          <w:rPr>
            <w:color w:val="000000"/>
          </w:rPr>
          <w:t>(Perez &amp; Lehner, 2019)</w:t>
        </w:r>
      </w:hyperlink>
      <w:r>
        <w:t xml:space="preserve">. </w:t>
      </w:r>
      <w:r w:rsidR="00DA6E60">
        <w:t>Trans- and intergenerational c</w:t>
      </w:r>
      <w:r w:rsidR="0009773D">
        <w:t xml:space="preserve">arryover effects </w:t>
      </w:r>
      <w:r w:rsidR="00967B68">
        <w:t xml:space="preserve">are increasingly reported </w:t>
      </w:r>
      <w:r w:rsidR="002033D0">
        <w:t xml:space="preserve">across </w:t>
      </w:r>
      <w:r w:rsidR="00DA6E60">
        <w:t xml:space="preserve">marine </w:t>
      </w:r>
      <w:r w:rsidR="002033D0">
        <w:t xml:space="preserve">phyla, including </w:t>
      </w:r>
      <w:r w:rsidR="009A08B7">
        <w:t>C</w:t>
      </w:r>
      <w:r w:rsidR="002033D0">
        <w:t>nidaria (</w:t>
      </w:r>
      <w:r w:rsidR="002033D0" w:rsidRPr="00C41595">
        <w:rPr>
          <w:i/>
        </w:rPr>
        <w:t>e.g.</w:t>
      </w:r>
      <w:r w:rsidR="002033D0">
        <w:t xml:space="preserve"> </w:t>
      </w:r>
      <w:r w:rsidR="005F6CB1" w:rsidRPr="005F6CB1">
        <w:t>Putnam &amp; Gates, 2015</w:t>
      </w:r>
      <w:r w:rsidR="002033D0">
        <w:t xml:space="preserve">), </w:t>
      </w:r>
      <w:r w:rsidR="009A08B7">
        <w:t>Echinodermata (</w:t>
      </w:r>
      <w:r w:rsidR="009A08B7" w:rsidRPr="00C41595">
        <w:rPr>
          <w:i/>
        </w:rPr>
        <w:t xml:space="preserve">e.g. </w:t>
      </w:r>
      <w:r w:rsidR="00DA6E60">
        <w:t xml:space="preserve">Clark </w:t>
      </w:r>
      <w:r w:rsidR="00DA6E60" w:rsidRPr="00242447">
        <w:rPr>
          <w:i/>
        </w:rPr>
        <w:t>et al.</w:t>
      </w:r>
      <w:r w:rsidR="00DA6E60">
        <w:t>, 2019</w:t>
      </w:r>
      <w:r w:rsidR="009A08B7">
        <w:t>), Mo</w:t>
      </w:r>
      <w:r w:rsidR="002033D0">
        <w:t>llusc</w:t>
      </w:r>
      <w:r w:rsidR="009A08B7">
        <w:t>a</w:t>
      </w:r>
      <w:r w:rsidR="002033D0">
        <w:t xml:space="preserve"> (</w:t>
      </w:r>
      <w:r w:rsidR="002033D0" w:rsidRPr="00C41595">
        <w:rPr>
          <w:i/>
        </w:rPr>
        <w:t>e.g.</w:t>
      </w:r>
      <w:r w:rsidR="00FB58E9">
        <w:rPr>
          <w:i/>
        </w:rPr>
        <w:t xml:space="preserve"> </w:t>
      </w:r>
      <w:r w:rsidR="00CF7536">
        <w:t xml:space="preserve">Parker </w:t>
      </w:r>
      <w:r w:rsidR="00CF7536" w:rsidRPr="00242447">
        <w:rPr>
          <w:i/>
        </w:rPr>
        <w:t>et al.</w:t>
      </w:r>
      <w:r w:rsidR="00CF7536">
        <w:t xml:space="preserve"> 2015), </w:t>
      </w:r>
      <w:r w:rsidR="009A08B7">
        <w:t>Arthropoda (</w:t>
      </w:r>
      <w:r w:rsidR="009A08B7">
        <w:rPr>
          <w:i/>
        </w:rPr>
        <w:t xml:space="preserve">e.g. </w:t>
      </w:r>
      <w:r w:rsidR="005F6CB1">
        <w:t>Thor &amp; Dupont, 2015</w:t>
      </w:r>
      <w:r w:rsidR="009A08B7">
        <w:t>)</w:t>
      </w:r>
      <w:r w:rsidR="00FB58E9">
        <w:t>, and Chordata (R</w:t>
      </w:r>
      <w:r w:rsidR="00FB58E9" w:rsidRPr="00FB58E9">
        <w:t>eview</w:t>
      </w:r>
      <w:r w:rsidR="00FB58E9">
        <w:t xml:space="preserve">: </w:t>
      </w:r>
      <w:proofErr w:type="spellStart"/>
      <w:r w:rsidR="00FB58E9">
        <w:t>Munday</w:t>
      </w:r>
      <w:proofErr w:type="spellEnd"/>
      <w:r w:rsidR="00FB58E9">
        <w:t xml:space="preserve"> 2014)</w:t>
      </w:r>
      <w:r w:rsidR="009A08B7">
        <w:t xml:space="preserve">. </w:t>
      </w:r>
    </w:p>
    <w:p w14:paraId="76C22E1E" w14:textId="1C6DE425" w:rsidR="00D64A77" w:rsidRDefault="001554ED" w:rsidP="00C56A3D">
      <w:pPr>
        <w:spacing w:line="480" w:lineRule="auto"/>
        <w:ind w:firstLine="720"/>
      </w:pPr>
      <w:r>
        <w:t>A foundational series of studies on the Sydney rock oyster (</w:t>
      </w:r>
      <w:r>
        <w:rPr>
          <w:i/>
        </w:rPr>
        <w:t xml:space="preserve">Saccostrea </w:t>
      </w:r>
      <w:proofErr w:type="spellStart"/>
      <w:r>
        <w:rPr>
          <w:i/>
        </w:rPr>
        <w:t>glomerata</w:t>
      </w:r>
      <w:proofErr w:type="spellEnd"/>
      <w:r>
        <w:t>) provide strong evidence for intergenerational carryover effects in bivalves</w:t>
      </w:r>
      <w:r w:rsidR="00484E4E">
        <w:t>, an ecologically and economically important group of taxa (</w:t>
      </w:r>
      <w:proofErr w:type="spellStart"/>
      <w:r w:rsidR="00484E4E">
        <w:t>Dumbauld</w:t>
      </w:r>
      <w:proofErr w:type="spellEnd"/>
      <w:r w:rsidR="00484E4E">
        <w:t xml:space="preserve">, </w:t>
      </w:r>
      <w:proofErr w:type="spellStart"/>
      <w:r w:rsidR="00484E4E">
        <w:t>Ruesink</w:t>
      </w:r>
      <w:proofErr w:type="spellEnd"/>
      <w:r w:rsidR="00484E4E">
        <w:t xml:space="preserve"> &amp; </w:t>
      </w:r>
      <w:proofErr w:type="spellStart"/>
      <w:r w:rsidR="00484E4E">
        <w:t>Rumrill</w:t>
      </w:r>
      <w:proofErr w:type="spellEnd"/>
      <w:r w:rsidR="00484E4E">
        <w:t xml:space="preserve">, 2009). </w:t>
      </w:r>
      <w:r>
        <w:t xml:space="preserve">Adult </w:t>
      </w:r>
      <w:r>
        <w:rPr>
          <w:i/>
        </w:rPr>
        <w:t xml:space="preserve">S. </w:t>
      </w:r>
      <w:proofErr w:type="spellStart"/>
      <w:r>
        <w:rPr>
          <w:i/>
        </w:rPr>
        <w:t>glomerata</w:t>
      </w:r>
      <w:proofErr w:type="spellEnd"/>
      <w:r>
        <w:t xml:space="preserve"> exposed to high pCO</w:t>
      </w:r>
      <w:r>
        <w:rPr>
          <w:vertAlign w:val="subscript"/>
        </w:rPr>
        <w:t>2</w:t>
      </w:r>
      <w:r>
        <w:t xml:space="preserve"> produced larger larvae that were less sensitive to high pCO</w:t>
      </w:r>
      <w:r>
        <w:rPr>
          <w:vertAlign w:val="subscript"/>
        </w:rPr>
        <w:t>2</w:t>
      </w:r>
      <w:r>
        <w:t xml:space="preserve">, and the effect persisted in the successive generation </w:t>
      </w:r>
      <w:hyperlink r:id="rId13">
        <w:r>
          <w:rPr>
            <w:color w:val="000000"/>
          </w:rPr>
          <w:t>(Parker</w:t>
        </w:r>
      </w:hyperlink>
      <w:hyperlink r:id="rId14">
        <w:r>
          <w:t xml:space="preserve"> </w:t>
        </w:r>
      </w:hyperlink>
      <w:hyperlink r:id="rId15">
        <w:r>
          <w:rPr>
            <w:i/>
          </w:rPr>
          <w:t>et al.</w:t>
        </w:r>
      </w:hyperlink>
      <w:hyperlink r:id="rId16">
        <w:r>
          <w:t>,</w:t>
        </w:r>
      </w:hyperlink>
      <w:hyperlink r:id="rId17">
        <w:r>
          <w:rPr>
            <w:color w:val="000000"/>
          </w:rPr>
          <w:t xml:space="preserve"> 201</w:t>
        </w:r>
      </w:hyperlink>
      <w:hyperlink r:id="rId18">
        <w:r>
          <w:t>2,</w:t>
        </w:r>
      </w:hyperlink>
      <w:hyperlink r:id="rId19">
        <w:r>
          <w:rPr>
            <w:color w:val="000000"/>
          </w:rPr>
          <w:t xml:space="preserve"> 201</w:t>
        </w:r>
      </w:hyperlink>
      <w:hyperlink r:id="rId20">
        <w:r>
          <w:t>5</w:t>
        </w:r>
      </w:hyperlink>
      <w:hyperlink r:id="rId21">
        <w:r>
          <w:rPr>
            <w:color w:val="000000"/>
          </w:rPr>
          <w:t>)</w:t>
        </w:r>
      </w:hyperlink>
      <w:r>
        <w:t>. In the presence of secondary stressors, however, parental high pCO</w:t>
      </w:r>
      <w:r>
        <w:rPr>
          <w:vertAlign w:val="subscript"/>
        </w:rPr>
        <w:t>2</w:t>
      </w:r>
      <w:r>
        <w:t xml:space="preserve"> exposure rendered larvae more sensitive </w:t>
      </w:r>
      <w:hyperlink r:id="rId22">
        <w:r>
          <w:rPr>
            <w:color w:val="000000"/>
          </w:rPr>
          <w:t xml:space="preserve">(Parker </w:t>
        </w:r>
      </w:hyperlink>
      <w:hyperlink r:id="rId23">
        <w:r>
          <w:rPr>
            <w:i/>
            <w:color w:val="000000"/>
          </w:rPr>
          <w:t>et al.</w:t>
        </w:r>
      </w:hyperlink>
      <w:hyperlink r:id="rId24">
        <w:r>
          <w:rPr>
            <w:color w:val="000000"/>
          </w:rPr>
          <w:t>, 2017)</w:t>
        </w:r>
      </w:hyperlink>
      <w:r>
        <w:t xml:space="preserve">. Intergenerational carryover effects are increasingly documented in larvae across other bivalve species, and are beneficial in the mussels </w:t>
      </w:r>
      <w:proofErr w:type="spellStart"/>
      <w:r>
        <w:rPr>
          <w:i/>
        </w:rPr>
        <w:t>Mytilus</w:t>
      </w:r>
      <w:proofErr w:type="spellEnd"/>
      <w:r>
        <w:rPr>
          <w:i/>
        </w:rPr>
        <w:t xml:space="preserve"> chilensis</w:t>
      </w:r>
      <w:r>
        <w:t xml:space="preserve"> </w:t>
      </w:r>
      <w:hyperlink r:id="rId25">
        <w:r>
          <w:rPr>
            <w:color w:val="000000"/>
          </w:rPr>
          <w:t xml:space="preserve">(Diaz </w:t>
        </w:r>
      </w:hyperlink>
      <w:hyperlink r:id="rId26">
        <w:r>
          <w:rPr>
            <w:i/>
            <w:color w:val="000000"/>
          </w:rPr>
          <w:t>et al</w:t>
        </w:r>
      </w:hyperlink>
      <w:hyperlink r:id="rId27">
        <w:r>
          <w:rPr>
            <w:color w:val="000000"/>
          </w:rPr>
          <w:t>., 2018)</w:t>
        </w:r>
      </w:hyperlink>
      <w:r>
        <w:t xml:space="preserve"> and </w:t>
      </w:r>
      <w:proofErr w:type="spellStart"/>
      <w:r>
        <w:rPr>
          <w:i/>
        </w:rPr>
        <w:t>Mytilus</w:t>
      </w:r>
      <w:proofErr w:type="spellEnd"/>
      <w:r>
        <w:rPr>
          <w:i/>
        </w:rPr>
        <w:t xml:space="preserve"> edulis</w:t>
      </w:r>
      <w:r>
        <w:t xml:space="preserve"> (but not juveniles) </w:t>
      </w:r>
      <w:hyperlink r:id="rId28">
        <w:r>
          <w:rPr>
            <w:color w:val="000000"/>
          </w:rPr>
          <w:t xml:space="preserve">(Kong </w:t>
        </w:r>
      </w:hyperlink>
      <w:hyperlink r:id="rId29">
        <w:r>
          <w:rPr>
            <w:i/>
            <w:color w:val="000000"/>
          </w:rPr>
          <w:t>et al</w:t>
        </w:r>
      </w:hyperlink>
      <w:hyperlink r:id="rId30">
        <w:r>
          <w:rPr>
            <w:color w:val="000000"/>
          </w:rPr>
          <w:t xml:space="preserve">., 2019; Thomsen </w:t>
        </w:r>
      </w:hyperlink>
      <w:hyperlink r:id="rId31">
        <w:r>
          <w:rPr>
            <w:i/>
            <w:color w:val="000000"/>
          </w:rPr>
          <w:t>et al</w:t>
        </w:r>
      </w:hyperlink>
      <w:hyperlink r:id="rId32">
        <w:r>
          <w:rPr>
            <w:color w:val="000000"/>
          </w:rPr>
          <w:t>., 2017)</w:t>
        </w:r>
      </w:hyperlink>
      <w:r>
        <w:t xml:space="preserve">, and detrimental in the clam </w:t>
      </w:r>
      <w:proofErr w:type="spellStart"/>
      <w:r>
        <w:rPr>
          <w:i/>
        </w:rPr>
        <w:t>Mercenaria</w:t>
      </w:r>
      <w:proofErr w:type="spellEnd"/>
      <w:r>
        <w:rPr>
          <w:i/>
        </w:rPr>
        <w:t xml:space="preserve"> </w:t>
      </w:r>
      <w:proofErr w:type="spellStart"/>
      <w:r>
        <w:rPr>
          <w:i/>
        </w:rPr>
        <w:t>mercenaria</w:t>
      </w:r>
      <w:proofErr w:type="spellEnd"/>
      <w:r>
        <w:t xml:space="preserve">, the scallop </w:t>
      </w:r>
      <w:proofErr w:type="spellStart"/>
      <w:r>
        <w:rPr>
          <w:i/>
        </w:rPr>
        <w:t>Argopecten</w:t>
      </w:r>
      <w:proofErr w:type="spellEnd"/>
      <w:r>
        <w:rPr>
          <w:i/>
        </w:rPr>
        <w:t xml:space="preserve"> </w:t>
      </w:r>
      <w:proofErr w:type="spellStart"/>
      <w:r>
        <w:rPr>
          <w:i/>
        </w:rPr>
        <w:t>irradians</w:t>
      </w:r>
      <w:proofErr w:type="spellEnd"/>
      <w:r>
        <w:t xml:space="preserve"> </w:t>
      </w:r>
      <w:hyperlink r:id="rId33">
        <w:r>
          <w:rPr>
            <w:color w:val="000000"/>
          </w:rPr>
          <w:t xml:space="preserve">(Griffith &amp; </w:t>
        </w:r>
        <w:proofErr w:type="spellStart"/>
        <w:r>
          <w:rPr>
            <w:color w:val="000000"/>
          </w:rPr>
          <w:t>Gobler</w:t>
        </w:r>
        <w:proofErr w:type="spellEnd"/>
        <w:r>
          <w:rPr>
            <w:color w:val="000000"/>
          </w:rPr>
          <w:t>, 2017)</w:t>
        </w:r>
      </w:hyperlink>
      <w:r>
        <w:t xml:space="preserve">, and the oyster </w:t>
      </w:r>
      <w:proofErr w:type="spellStart"/>
      <w:r>
        <w:rPr>
          <w:i/>
        </w:rPr>
        <w:t>Crassostrea</w:t>
      </w:r>
      <w:proofErr w:type="spellEnd"/>
      <w:r>
        <w:rPr>
          <w:i/>
        </w:rPr>
        <w:t xml:space="preserve"> </w:t>
      </w:r>
      <w:proofErr w:type="spellStart"/>
      <w:r>
        <w:rPr>
          <w:i/>
        </w:rPr>
        <w:t>gigas</w:t>
      </w:r>
      <w:proofErr w:type="spellEnd"/>
      <w:r>
        <w:t xml:space="preserve"> </w:t>
      </w:r>
      <w:hyperlink r:id="rId34">
        <w:r>
          <w:rPr>
            <w:color w:val="000000"/>
          </w:rPr>
          <w:t>(Venkataraman, Spencer, &amp; Roberts, 2019)</w:t>
        </w:r>
      </w:hyperlink>
      <w:r>
        <w:t xml:space="preserve">. </w:t>
      </w:r>
    </w:p>
    <w:p w14:paraId="1270248B" w14:textId="35E9DE9C" w:rsidR="00D64A77" w:rsidRDefault="004263FA" w:rsidP="00C56A3D">
      <w:pPr>
        <w:spacing w:line="480" w:lineRule="auto"/>
        <w:ind w:firstLine="720"/>
      </w:pPr>
      <w:r>
        <w:t>These p</w:t>
      </w:r>
      <w:r w:rsidR="001554ED">
        <w:t xml:space="preserve">reliminary studies </w:t>
      </w:r>
      <w:r w:rsidR="00430B7E">
        <w:t xml:space="preserve">provide strong evidence for intergenerational </w:t>
      </w:r>
      <w:r>
        <w:t xml:space="preserve">carryover effects </w:t>
      </w:r>
      <w:r w:rsidR="00430B7E">
        <w:t>in bivalves</w:t>
      </w:r>
      <w:r w:rsidR="0024069D">
        <w:t>, but the body of work is still narrow in scope</w:t>
      </w:r>
      <w:r w:rsidR="001554ED">
        <w:t>. Nearly all studies have exposed parents</w:t>
      </w:r>
      <w:r w:rsidR="006A2460">
        <w:t xml:space="preserve"> to stressors</w:t>
      </w:r>
      <w:r w:rsidR="001554ED">
        <w:t xml:space="preserve"> during </w:t>
      </w:r>
      <w:proofErr w:type="spellStart"/>
      <w:r w:rsidR="001554ED">
        <w:t>denovo</w:t>
      </w:r>
      <w:proofErr w:type="spellEnd"/>
      <w:r w:rsidR="001554ED">
        <w:t xml:space="preserve"> gamete formation (gametogenesis). For many temperate bivalve species, this occurs seasonally in the spring </w:t>
      </w:r>
      <w:hyperlink r:id="rId35">
        <w:r w:rsidR="001554ED">
          <w:rPr>
            <w:color w:val="000000"/>
          </w:rPr>
          <w:t>(Bayne, 1976)</w:t>
        </w:r>
      </w:hyperlink>
      <w:r w:rsidR="001554ED">
        <w:t xml:space="preserve">. Yet, challenging periods of acidification and warming can occur during other times of the year </w:t>
      </w:r>
      <w:hyperlink r:id="rId36">
        <w:r w:rsidR="001554ED">
          <w:rPr>
            <w:color w:val="000000"/>
          </w:rPr>
          <w:t xml:space="preserve">(Evans, Hales, &amp; </w:t>
        </w:r>
        <w:proofErr w:type="spellStart"/>
        <w:r w:rsidR="001554ED">
          <w:rPr>
            <w:color w:val="000000"/>
          </w:rPr>
          <w:t>Strutton</w:t>
        </w:r>
        <w:proofErr w:type="spellEnd"/>
        <w:r w:rsidR="001554ED">
          <w:rPr>
            <w:color w:val="000000"/>
          </w:rPr>
          <w:t xml:space="preserve">, 2013; </w:t>
        </w:r>
        <w:proofErr w:type="spellStart"/>
        <w:r w:rsidR="001554ED">
          <w:rPr>
            <w:color w:val="000000"/>
          </w:rPr>
          <w:t>Joesoef</w:t>
        </w:r>
        <w:proofErr w:type="spellEnd"/>
        <w:r w:rsidR="001554ED">
          <w:rPr>
            <w:color w:val="000000"/>
          </w:rPr>
          <w:t>, Huang, Gao, &amp; Cai, 2015; McGrath, McGovern, Gregory, &amp; Cave, 2019)</w:t>
        </w:r>
      </w:hyperlink>
      <w:r w:rsidR="001554ED">
        <w:t xml:space="preserve">. The </w:t>
      </w:r>
      <w:r w:rsidR="001554ED">
        <w:lastRenderedPageBreak/>
        <w:t xml:space="preserve">most corrosive carbonate environment in the Puget Sound estuary in Washington State, for example, commonly occurs in the winter when many species are reproductively inactive, while favorable conditions are in the spring when gametogenesis coincides with phytoplankton blooms </w:t>
      </w:r>
      <w:hyperlink r:id="rId37">
        <w:r w:rsidR="001554ED">
          <w:rPr>
            <w:color w:val="000000"/>
          </w:rPr>
          <w:t xml:space="preserve">(Pelletier, Roberts, </w:t>
        </w:r>
        <w:proofErr w:type="spellStart"/>
        <w:r w:rsidR="001554ED">
          <w:rPr>
            <w:color w:val="000000"/>
          </w:rPr>
          <w:t>Keyzers</w:t>
        </w:r>
        <w:proofErr w:type="spellEnd"/>
        <w:r w:rsidR="001554ED">
          <w:rPr>
            <w:color w:val="000000"/>
          </w:rPr>
          <w:t xml:space="preserve">, &amp; </w:t>
        </w:r>
        <w:proofErr w:type="spellStart"/>
        <w:r w:rsidR="001554ED">
          <w:rPr>
            <w:color w:val="000000"/>
          </w:rPr>
          <w:t>Alin</w:t>
        </w:r>
        <w:proofErr w:type="spellEnd"/>
        <w:r w:rsidR="001554ED">
          <w:rPr>
            <w:color w:val="000000"/>
          </w:rPr>
          <w:t>, 2018)</w:t>
        </w:r>
      </w:hyperlink>
      <w:r w:rsidR="001554ED">
        <w:t xml:space="preserve">. Thus, adult exposure to severely corrosive conditions during gametogenesis may not represent the natural estuarine system. To our knowledge, </w:t>
      </w:r>
      <w:r w:rsidR="001F5BDB">
        <w:t xml:space="preserve">only </w:t>
      </w:r>
      <w:r w:rsidR="001554ED">
        <w:t>one study has assessed carryover effects of</w:t>
      </w:r>
      <w:r w:rsidR="0085655B">
        <w:t xml:space="preserve"> </w:t>
      </w:r>
      <w:r w:rsidR="0085655B" w:rsidRPr="0085655B">
        <w:t>exposure to acidification before reproductive conditioning</w:t>
      </w:r>
      <w:r w:rsidR="001554ED">
        <w:t xml:space="preserve"> in a bivalve, the oyster </w:t>
      </w:r>
      <w:r w:rsidR="001554ED">
        <w:rPr>
          <w:i/>
        </w:rPr>
        <w:t xml:space="preserve">C. </w:t>
      </w:r>
      <w:proofErr w:type="spellStart"/>
      <w:r w:rsidR="001554ED">
        <w:rPr>
          <w:i/>
        </w:rPr>
        <w:t>gigas</w:t>
      </w:r>
      <w:proofErr w:type="spellEnd"/>
      <w:r w:rsidR="001554ED">
        <w:t xml:space="preserve">, and found negative maternal carryover effects on larval survival </w:t>
      </w:r>
      <w:hyperlink r:id="rId38">
        <w:r w:rsidR="0085655B">
          <w:rPr>
            <w:color w:val="000000"/>
          </w:rPr>
          <w:t>(Venkataraman, Spencer, &amp; Roberts, 2019)</w:t>
        </w:r>
      </w:hyperlink>
      <w:r w:rsidR="001554ED">
        <w:t>, indicating that pre-gametogenic exposure also matters. No studies have yet attempted to examine intergenerational carryover effects of combined winter warming</w:t>
      </w:r>
      <w:r w:rsidR="00C445FE">
        <w:t xml:space="preserve"> and acidification</w:t>
      </w:r>
      <w:r w:rsidR="001554ED">
        <w:t xml:space="preserve"> in bivalves.</w:t>
      </w:r>
    </w:p>
    <w:p w14:paraId="7336B4D8" w14:textId="3ACEEF8E" w:rsidR="00D64A77" w:rsidRDefault="001554ED" w:rsidP="00C56A3D">
      <w:pPr>
        <w:spacing w:line="480" w:lineRule="auto"/>
        <w:ind w:firstLine="720"/>
      </w:pPr>
      <w:r>
        <w:t xml:space="preserve">To best predict whether intergenerational carryover effects will be beneficial or detrimental, it is also crucial to understand how warming and acidification will impact fertility and reproductive phenology. Temperature is a major driver of bivalve reproduction, and modulates gametogenesis </w:t>
      </w:r>
      <w:hyperlink r:id="rId39">
        <w:r>
          <w:rPr>
            <w:color w:val="000000"/>
          </w:rPr>
          <w:t xml:space="preserve">(Joyce, </w:t>
        </w:r>
        <w:proofErr w:type="spellStart"/>
        <w:r>
          <w:rPr>
            <w:color w:val="000000"/>
          </w:rPr>
          <w:t>Holthuis</w:t>
        </w:r>
        <w:proofErr w:type="spellEnd"/>
        <w:r>
          <w:rPr>
            <w:color w:val="000000"/>
          </w:rPr>
          <w:t xml:space="preserve">, Charrier, &amp; </w:t>
        </w:r>
        <w:proofErr w:type="spellStart"/>
        <w:r>
          <w:rPr>
            <w:color w:val="000000"/>
          </w:rPr>
          <w:t>Lindegarth</w:t>
        </w:r>
        <w:proofErr w:type="spellEnd"/>
        <w:r>
          <w:rPr>
            <w:color w:val="000000"/>
          </w:rPr>
          <w:t xml:space="preserve">, 2013; </w:t>
        </w:r>
        <w:proofErr w:type="spellStart"/>
        <w:r>
          <w:rPr>
            <w:color w:val="000000"/>
          </w:rPr>
          <w:t>Maneiro</w:t>
        </w:r>
        <w:proofErr w:type="spellEnd"/>
        <w:r>
          <w:rPr>
            <w:color w:val="000000"/>
          </w:rPr>
          <w:t>, Pérez-</w:t>
        </w:r>
        <w:proofErr w:type="spellStart"/>
        <w:r>
          <w:rPr>
            <w:color w:val="000000"/>
          </w:rPr>
          <w:t>Parallé</w:t>
        </w:r>
        <w:proofErr w:type="spellEnd"/>
        <w:r>
          <w:rPr>
            <w:color w:val="000000"/>
          </w:rPr>
          <w:t xml:space="preserve">, </w:t>
        </w:r>
        <w:proofErr w:type="spellStart"/>
        <w:r>
          <w:rPr>
            <w:color w:val="000000"/>
          </w:rPr>
          <w:t>Pazos</w:t>
        </w:r>
        <w:proofErr w:type="spellEnd"/>
        <w:r>
          <w:rPr>
            <w:color w:val="000000"/>
          </w:rPr>
          <w:t>, Silva, &amp; Sánchez, 2016; Oates, 2013)</w:t>
        </w:r>
      </w:hyperlink>
      <w:r>
        <w:t xml:space="preserve">, influences sex determination </w:t>
      </w:r>
      <w:hyperlink r:id="rId40">
        <w:r>
          <w:rPr>
            <w:color w:val="000000"/>
          </w:rPr>
          <w:t>(</w:t>
        </w:r>
        <w:proofErr w:type="spellStart"/>
        <w:r>
          <w:rPr>
            <w:color w:val="000000"/>
          </w:rPr>
          <w:t>Santerre</w:t>
        </w:r>
        <w:proofErr w:type="spellEnd"/>
        <w:r>
          <w:rPr>
            <w:color w:val="000000"/>
          </w:rPr>
          <w:t xml:space="preserve"> </w:t>
        </w:r>
      </w:hyperlink>
      <w:hyperlink r:id="rId41">
        <w:r>
          <w:rPr>
            <w:i/>
            <w:color w:val="000000"/>
          </w:rPr>
          <w:t>et al.</w:t>
        </w:r>
      </w:hyperlink>
      <w:hyperlink r:id="rId42">
        <w:r>
          <w:rPr>
            <w:color w:val="000000"/>
          </w:rPr>
          <w:t>, 2013)</w:t>
        </w:r>
      </w:hyperlink>
      <w:r>
        <w:t xml:space="preserve"> and, in many species, triggers spawning </w:t>
      </w:r>
      <w:hyperlink r:id="rId43">
        <w:r>
          <w:rPr>
            <w:color w:val="000000"/>
          </w:rPr>
          <w:t>(</w:t>
        </w:r>
        <w:proofErr w:type="spellStart"/>
        <w:r>
          <w:rPr>
            <w:color w:val="000000"/>
          </w:rPr>
          <w:t>Fabioux</w:t>
        </w:r>
        <w:proofErr w:type="spellEnd"/>
        <w:r>
          <w:rPr>
            <w:color w:val="000000"/>
          </w:rPr>
          <w:t xml:space="preserve">, </w:t>
        </w:r>
        <w:proofErr w:type="spellStart"/>
        <w:r>
          <w:rPr>
            <w:color w:val="000000"/>
          </w:rPr>
          <w:t>Huvet</w:t>
        </w:r>
        <w:proofErr w:type="spellEnd"/>
        <w:r>
          <w:rPr>
            <w:color w:val="000000"/>
          </w:rPr>
          <w:t xml:space="preserve">, Le </w:t>
        </w:r>
        <w:proofErr w:type="spellStart"/>
        <w:r>
          <w:rPr>
            <w:color w:val="000000"/>
          </w:rPr>
          <w:t>Souchu</w:t>
        </w:r>
        <w:proofErr w:type="spellEnd"/>
        <w:r>
          <w:rPr>
            <w:color w:val="000000"/>
          </w:rPr>
          <w:t xml:space="preserve">, Le </w:t>
        </w:r>
        <w:proofErr w:type="spellStart"/>
        <w:r>
          <w:rPr>
            <w:color w:val="000000"/>
          </w:rPr>
          <w:t>Pennec</w:t>
        </w:r>
        <w:proofErr w:type="spellEnd"/>
        <w:r>
          <w:rPr>
            <w:color w:val="000000"/>
          </w:rPr>
          <w:t xml:space="preserve">, &amp; </w:t>
        </w:r>
        <w:proofErr w:type="spellStart"/>
        <w:r>
          <w:rPr>
            <w:color w:val="000000"/>
          </w:rPr>
          <w:t>Pouvreau</w:t>
        </w:r>
        <w:proofErr w:type="spellEnd"/>
        <w:r>
          <w:rPr>
            <w:color w:val="000000"/>
          </w:rPr>
          <w:t>, 2005)</w:t>
        </w:r>
      </w:hyperlink>
      <w:r>
        <w:t xml:space="preserve"> (alongside other factors such as photoperiod, nutrition, lunar/tidal phases). Year-round warming may result in unexpected impacts to larval competency resulting from changes to reproduction. For instance, some temperate bivalve species have a thermal threshold for gametogenesis and enter a period of reproductive inactivity, or “quiescence”, which is believed necessary for successive spawning </w:t>
      </w:r>
      <w:hyperlink r:id="rId44">
        <w:r>
          <w:rPr>
            <w:color w:val="000000"/>
          </w:rPr>
          <w:t xml:space="preserve">(Giese, 1959; Hopkins, 1937; </w:t>
        </w:r>
        <w:proofErr w:type="spellStart"/>
        <w:r>
          <w:rPr>
            <w:color w:val="000000"/>
          </w:rPr>
          <w:t>Loosanoff</w:t>
        </w:r>
        <w:proofErr w:type="spellEnd"/>
        <w:r>
          <w:rPr>
            <w:color w:val="000000"/>
          </w:rPr>
          <w:t>, 1942)</w:t>
        </w:r>
      </w:hyperlink>
      <w:r>
        <w:t>. Warmer winters brought on by global climate change (IPCC, 2013</w:t>
      </w:r>
      <w:r w:rsidR="00C445FE">
        <w:t>, 2019</w:t>
      </w:r>
      <w:r>
        <w:t xml:space="preserve">) may therefore shift species’ reproductive cycles to begin earlier, or eliminate seasonality altogether, resulting in </w:t>
      </w:r>
      <w:r>
        <w:lastRenderedPageBreak/>
        <w:t xml:space="preserve">poorly provisioned or ill-timed larvae </w:t>
      </w:r>
      <w:hyperlink r:id="rId45">
        <w:r>
          <w:rPr>
            <w:color w:val="000000"/>
          </w:rPr>
          <w:t>(</w:t>
        </w:r>
        <w:proofErr w:type="spellStart"/>
        <w:r>
          <w:rPr>
            <w:color w:val="000000"/>
          </w:rPr>
          <w:t>Chevillot</w:t>
        </w:r>
        <w:proofErr w:type="spellEnd"/>
        <w:r>
          <w:rPr>
            <w:color w:val="000000"/>
          </w:rPr>
          <w:t xml:space="preserve"> </w:t>
        </w:r>
      </w:hyperlink>
      <w:hyperlink r:id="rId46">
        <w:r>
          <w:rPr>
            <w:i/>
            <w:color w:val="000000"/>
          </w:rPr>
          <w:t>et al.</w:t>
        </w:r>
      </w:hyperlink>
      <w:hyperlink r:id="rId47">
        <w:r>
          <w:rPr>
            <w:color w:val="000000"/>
          </w:rPr>
          <w:t>, 2017)</w:t>
        </w:r>
      </w:hyperlink>
      <w:r>
        <w:t xml:space="preserve">. Such impacts were clearly demonstrated using a long-term dataset (1973-2001) of estuarine clam </w:t>
      </w:r>
      <w:proofErr w:type="spellStart"/>
      <w:r>
        <w:rPr>
          <w:i/>
        </w:rPr>
        <w:t>Macoma</w:t>
      </w:r>
      <w:proofErr w:type="spellEnd"/>
      <w:r>
        <w:rPr>
          <w:i/>
        </w:rPr>
        <w:t xml:space="preserve"> </w:t>
      </w:r>
      <w:proofErr w:type="spellStart"/>
      <w:r>
        <w:rPr>
          <w:i/>
        </w:rPr>
        <w:t>balthica</w:t>
      </w:r>
      <w:proofErr w:type="spellEnd"/>
      <w:r>
        <w:t xml:space="preserve"> reproduction and temperature. Mild winters and earlier springs resulted in low fecundity, earlier spawning, and poor recruitment, which was largely explained by a phenological mismatch between spawning and peak phytoplankton blooms </w:t>
      </w:r>
      <w:hyperlink r:id="rId48">
        <w:r>
          <w:rPr>
            <w:color w:val="000000"/>
          </w:rPr>
          <w:t>(</w:t>
        </w:r>
        <w:proofErr w:type="spellStart"/>
        <w:r>
          <w:rPr>
            <w:color w:val="000000"/>
          </w:rPr>
          <w:t>Philippart</w:t>
        </w:r>
        <w:proofErr w:type="spellEnd"/>
        <w:r>
          <w:rPr>
            <w:color w:val="000000"/>
          </w:rPr>
          <w:t xml:space="preserve"> </w:t>
        </w:r>
      </w:hyperlink>
      <w:hyperlink r:id="rId49">
        <w:r>
          <w:rPr>
            <w:i/>
            <w:color w:val="000000"/>
          </w:rPr>
          <w:t>et al</w:t>
        </w:r>
      </w:hyperlink>
      <w:hyperlink r:id="rId50">
        <w:r>
          <w:rPr>
            <w:color w:val="000000"/>
          </w:rPr>
          <w:t>., 2003)</w:t>
        </w:r>
      </w:hyperlink>
      <w:r>
        <w:t>. The impacts of winter acidification on estuarine bivalve reproduction are less predictable. The few studies to date show that high pCO</w:t>
      </w:r>
      <w:r>
        <w:rPr>
          <w:vertAlign w:val="subscript"/>
        </w:rPr>
        <w:t>2</w:t>
      </w:r>
      <w:r>
        <w:t xml:space="preserve"> delays gametogenesis in the oysters </w:t>
      </w:r>
      <w:proofErr w:type="spellStart"/>
      <w:r>
        <w:rPr>
          <w:i/>
        </w:rPr>
        <w:t>Crassostrea</w:t>
      </w:r>
      <w:proofErr w:type="spellEnd"/>
      <w:r>
        <w:rPr>
          <w:i/>
        </w:rPr>
        <w:t xml:space="preserve"> virginica</w:t>
      </w:r>
      <w:r w:rsidR="00C445FE">
        <w:rPr>
          <w:i/>
        </w:rPr>
        <w:t xml:space="preserve"> </w:t>
      </w:r>
      <w:r w:rsidR="00C445FE">
        <w:t xml:space="preserve">and </w:t>
      </w:r>
      <w:r w:rsidR="00C445FE">
        <w:rPr>
          <w:i/>
        </w:rPr>
        <w:t xml:space="preserve">S. </w:t>
      </w:r>
      <w:proofErr w:type="spellStart"/>
      <w:r w:rsidR="00C445FE">
        <w:rPr>
          <w:i/>
        </w:rPr>
        <w:t>glomerata</w:t>
      </w:r>
      <w:proofErr w:type="spellEnd"/>
      <w:r>
        <w:t xml:space="preserve"> </w:t>
      </w:r>
      <w:hyperlink r:id="rId51">
        <w:r>
          <w:rPr>
            <w:color w:val="000000"/>
          </w:rPr>
          <w:t xml:space="preserve">(Boulais </w:t>
        </w:r>
      </w:hyperlink>
      <w:hyperlink r:id="rId52">
        <w:r>
          <w:rPr>
            <w:i/>
            <w:color w:val="000000"/>
          </w:rPr>
          <w:t>et al</w:t>
        </w:r>
      </w:hyperlink>
      <w:hyperlink r:id="rId53">
        <w:r>
          <w:rPr>
            <w:color w:val="000000"/>
          </w:rPr>
          <w:t xml:space="preserve">., 2017; Parker </w:t>
        </w:r>
      </w:hyperlink>
      <w:hyperlink r:id="rId54">
        <w:r>
          <w:rPr>
            <w:i/>
            <w:color w:val="000000"/>
          </w:rPr>
          <w:t>et al</w:t>
        </w:r>
      </w:hyperlink>
      <w:hyperlink r:id="rId55">
        <w:r>
          <w:rPr>
            <w:color w:val="000000"/>
          </w:rPr>
          <w:t>., 2018)</w:t>
        </w:r>
      </w:hyperlink>
      <w:r>
        <w:t xml:space="preserve">, but both studies exposed oysters during gametogenesis. Acidification during the winter months could increase energetic requirements </w:t>
      </w:r>
      <w:hyperlink r:id="rId56">
        <w:r>
          <w:rPr>
            <w:color w:val="000000"/>
          </w:rPr>
          <w:t>(</w:t>
        </w:r>
        <w:proofErr w:type="spellStart"/>
        <w:r>
          <w:rPr>
            <w:color w:val="000000"/>
          </w:rPr>
          <w:t>Sokolova</w:t>
        </w:r>
        <w:proofErr w:type="spellEnd"/>
        <w:r>
          <w:rPr>
            <w:color w:val="000000"/>
          </w:rPr>
          <w:t xml:space="preserve">, </w:t>
        </w:r>
        <w:proofErr w:type="spellStart"/>
        <w:r>
          <w:rPr>
            <w:color w:val="000000"/>
          </w:rPr>
          <w:t>Frederich</w:t>
        </w:r>
        <w:proofErr w:type="spellEnd"/>
        <w:r>
          <w:rPr>
            <w:color w:val="000000"/>
          </w:rPr>
          <w:t xml:space="preserve">, </w:t>
        </w:r>
        <w:proofErr w:type="spellStart"/>
        <w:r>
          <w:rPr>
            <w:color w:val="000000"/>
          </w:rPr>
          <w:t>Bagwe</w:t>
        </w:r>
        <w:proofErr w:type="spellEnd"/>
        <w:r>
          <w:rPr>
            <w:color w:val="000000"/>
          </w:rPr>
          <w:t xml:space="preserve">, </w:t>
        </w:r>
        <w:proofErr w:type="spellStart"/>
        <w:r>
          <w:rPr>
            <w:color w:val="000000"/>
          </w:rPr>
          <w:t>Lannig</w:t>
        </w:r>
        <w:proofErr w:type="spellEnd"/>
        <w:r>
          <w:rPr>
            <w:color w:val="000000"/>
          </w:rPr>
          <w:t xml:space="preserve">, &amp; </w:t>
        </w:r>
        <w:proofErr w:type="spellStart"/>
        <w:r>
          <w:rPr>
            <w:color w:val="000000"/>
          </w:rPr>
          <w:t>Sukhotin</w:t>
        </w:r>
        <w:proofErr w:type="spellEnd"/>
        <w:r>
          <w:rPr>
            <w:color w:val="000000"/>
          </w:rPr>
          <w:t>, 2012)</w:t>
        </w:r>
      </w:hyperlink>
      <w:r>
        <w:t xml:space="preserve">, and deplete glycogen reserves that are later utilized for gametogenesis in the spring </w:t>
      </w:r>
      <w:hyperlink r:id="rId57">
        <w:r>
          <w:rPr>
            <w:color w:val="000000"/>
          </w:rPr>
          <w:t xml:space="preserve">(Mathieu &amp; </w:t>
        </w:r>
        <w:proofErr w:type="spellStart"/>
        <w:r>
          <w:rPr>
            <w:color w:val="000000"/>
          </w:rPr>
          <w:t>Lubet</w:t>
        </w:r>
        <w:proofErr w:type="spellEnd"/>
        <w:r>
          <w:rPr>
            <w:color w:val="000000"/>
          </w:rPr>
          <w:t>, 1993)</w:t>
        </w:r>
      </w:hyperlink>
      <w:r>
        <w:t xml:space="preserve">, but this hypothesis has yet to be tested.   </w:t>
      </w:r>
    </w:p>
    <w:p w14:paraId="14C4C632" w14:textId="46BC7DCF" w:rsidR="00D64A77" w:rsidRDefault="001554ED" w:rsidP="00F67189">
      <w:pPr>
        <w:spacing w:line="480" w:lineRule="auto"/>
        <w:ind w:firstLine="720"/>
      </w:pPr>
      <w:r>
        <w:t xml:space="preserve">The purpose of this study was to assess whether warmer, </w:t>
      </w:r>
      <w:r w:rsidR="004B3DC3">
        <w:t>less alkaline</w:t>
      </w:r>
      <w:r>
        <w:t xml:space="preserve"> winters will affect fecundity and offspring viability in the Olympia oyster, </w:t>
      </w:r>
      <w:proofErr w:type="spellStart"/>
      <w:r>
        <w:rPr>
          <w:i/>
        </w:rPr>
        <w:t>Ostrea</w:t>
      </w:r>
      <w:proofErr w:type="spellEnd"/>
      <w:r>
        <w:rPr>
          <w:i/>
        </w:rPr>
        <w:t xml:space="preserve"> </w:t>
      </w:r>
      <w:proofErr w:type="spellStart"/>
      <w:r>
        <w:rPr>
          <w:i/>
        </w:rPr>
        <w:t>lurida</w:t>
      </w:r>
      <w:proofErr w:type="spellEnd"/>
      <w:r>
        <w:t xml:space="preserve">. The Olympia is native to the Pacific coast of North America </w:t>
      </w:r>
      <w:hyperlink r:id="rId58">
        <w:r>
          <w:rPr>
            <w:color w:val="000000"/>
          </w:rPr>
          <w:t>(McGraw, 2009)</w:t>
        </w:r>
      </w:hyperlink>
      <w:r>
        <w:t xml:space="preserve">. Overharvest and pollution devastated populations in the early 1900s, and today 2-5% of historic beds remain </w:t>
      </w:r>
      <w:hyperlink r:id="rId59">
        <w:r>
          <w:rPr>
            <w:color w:val="000000"/>
          </w:rPr>
          <w:t xml:space="preserve">(Blake &amp; Bradbury, 2012; Polson &amp; </w:t>
        </w:r>
        <w:proofErr w:type="spellStart"/>
        <w:r>
          <w:rPr>
            <w:color w:val="000000"/>
          </w:rPr>
          <w:t>Zacherl</w:t>
        </w:r>
        <w:proofErr w:type="spellEnd"/>
        <w:r>
          <w:rPr>
            <w:color w:val="000000"/>
          </w:rPr>
          <w:t>, 2009)</w:t>
        </w:r>
      </w:hyperlink>
      <w:r>
        <w:t xml:space="preserve">. </w:t>
      </w:r>
      <w:r w:rsidR="004B3DC3">
        <w:t xml:space="preserve">Restoration efforts are afoot, but </w:t>
      </w:r>
      <w:r w:rsidR="004B3DC3">
        <w:rPr>
          <w:i/>
        </w:rPr>
        <w:t xml:space="preserve">O. </w:t>
      </w:r>
      <w:proofErr w:type="spellStart"/>
      <w:r w:rsidR="004B3DC3">
        <w:rPr>
          <w:i/>
        </w:rPr>
        <w:t>lurida</w:t>
      </w:r>
      <w:proofErr w:type="spellEnd"/>
      <w:r w:rsidR="004B3DC3">
        <w:rPr>
          <w:i/>
        </w:rPr>
        <w:t xml:space="preserve"> </w:t>
      </w:r>
      <w:r w:rsidR="004B3DC3">
        <w:t xml:space="preserve">populations continue to struggle, and may be further challenged by changing conditions </w:t>
      </w:r>
      <w:hyperlink r:id="rId60">
        <w:r w:rsidR="004B3DC3">
          <w:rPr>
            <w:color w:val="000000"/>
          </w:rPr>
          <w:t xml:space="preserve">(Barton, Hales, </w:t>
        </w:r>
        <w:proofErr w:type="spellStart"/>
        <w:r w:rsidR="004B3DC3">
          <w:rPr>
            <w:color w:val="000000"/>
          </w:rPr>
          <w:t>Waldbusser</w:t>
        </w:r>
        <w:proofErr w:type="spellEnd"/>
        <w:r w:rsidR="004B3DC3">
          <w:rPr>
            <w:color w:val="000000"/>
          </w:rPr>
          <w:t xml:space="preserve">, Langdon, &amp; Feely, 2012; Feely, Klinger, Newton, &amp; </w:t>
        </w:r>
        <w:proofErr w:type="spellStart"/>
        <w:r w:rsidR="004B3DC3">
          <w:rPr>
            <w:color w:val="000000"/>
          </w:rPr>
          <w:t>Chadsey</w:t>
        </w:r>
        <w:proofErr w:type="spellEnd"/>
        <w:r w:rsidR="004B3DC3">
          <w:rPr>
            <w:color w:val="000000"/>
          </w:rPr>
          <w:t>, 2012; Feely, Sabine, Hernandez-</w:t>
        </w:r>
        <w:proofErr w:type="spellStart"/>
        <w:r w:rsidR="004B3DC3">
          <w:rPr>
            <w:color w:val="000000"/>
          </w:rPr>
          <w:t>Ayon</w:t>
        </w:r>
        <w:proofErr w:type="spellEnd"/>
        <w:r w:rsidR="004B3DC3">
          <w:rPr>
            <w:color w:val="000000"/>
          </w:rPr>
          <w:t xml:space="preserve">, </w:t>
        </w:r>
        <w:proofErr w:type="spellStart"/>
        <w:r w:rsidR="004B3DC3">
          <w:rPr>
            <w:color w:val="000000"/>
          </w:rPr>
          <w:t>Ianson</w:t>
        </w:r>
        <w:proofErr w:type="spellEnd"/>
        <w:r w:rsidR="004B3DC3">
          <w:rPr>
            <w:color w:val="000000"/>
          </w:rPr>
          <w:t>, &amp; Hales, 2008)</w:t>
        </w:r>
      </w:hyperlink>
      <w:r w:rsidR="004B3DC3">
        <w:t xml:space="preserve">. For instance, large interannual variability in larval recruitment and frequent recruitment failures </w:t>
      </w:r>
      <w:r w:rsidR="00AE04DC">
        <w:t>were</w:t>
      </w:r>
      <w:r w:rsidR="004B3DC3">
        <w:t xml:space="preserve"> recently reported</w:t>
      </w:r>
      <w:r w:rsidR="00A57F59">
        <w:t xml:space="preserve"> </w:t>
      </w:r>
      <w:r w:rsidR="004B3DC3">
        <w:t xml:space="preserve">(Wasson </w:t>
      </w:r>
      <w:r w:rsidR="004B3DC3" w:rsidRPr="001107F5">
        <w:rPr>
          <w:i/>
        </w:rPr>
        <w:t>et al</w:t>
      </w:r>
      <w:r w:rsidR="004B3DC3">
        <w:t xml:space="preserve">., 2016; Kimbro, White &amp; </w:t>
      </w:r>
      <w:proofErr w:type="spellStart"/>
      <w:r w:rsidR="004B3DC3">
        <w:t>Grosholz</w:t>
      </w:r>
      <w:proofErr w:type="spellEnd"/>
      <w:r w:rsidR="004B3DC3">
        <w:t xml:space="preserve">, 2019). This variability is presumably related to inconsistent spawning </w:t>
      </w:r>
      <w:r w:rsidR="00961A52">
        <w:t>success,</w:t>
      </w:r>
      <w:r w:rsidR="004B3DC3">
        <w:t xml:space="preserve"> larval survival</w:t>
      </w:r>
      <w:r w:rsidR="00961A52">
        <w:t>, and retention</w:t>
      </w:r>
      <w:r w:rsidR="004B3DC3">
        <w:t xml:space="preserve">, </w:t>
      </w:r>
      <w:r w:rsidR="00961A52">
        <w:t xml:space="preserve">and </w:t>
      </w:r>
      <w:r w:rsidR="004B3DC3">
        <w:t xml:space="preserve">governed predominantly by local conditions (Kimbro, White &amp; </w:t>
      </w:r>
      <w:proofErr w:type="spellStart"/>
      <w:r w:rsidR="004B3DC3">
        <w:lastRenderedPageBreak/>
        <w:t>Grosholz</w:t>
      </w:r>
      <w:proofErr w:type="spellEnd"/>
      <w:r w:rsidR="004B3DC3">
        <w:t>, 2019)</w:t>
      </w:r>
      <w:r w:rsidR="00AE04DC">
        <w:t xml:space="preserve">. </w:t>
      </w:r>
      <w:r w:rsidR="0001445B">
        <w:t xml:space="preserve">It is unknown how the intensity, timing, and duration of </w:t>
      </w:r>
      <w:r w:rsidR="005577E9">
        <w:t xml:space="preserve">local </w:t>
      </w:r>
      <w:r w:rsidR="0001445B">
        <w:t>environmental conditions can</w:t>
      </w:r>
      <w:r w:rsidR="00961A52">
        <w:t xml:space="preserve"> predict recruitment failure</w:t>
      </w:r>
      <w:r w:rsidR="0001445B">
        <w:t xml:space="preserve"> </w:t>
      </w:r>
      <w:r w:rsidR="00AE04DC">
        <w:t xml:space="preserve">(Wasson </w:t>
      </w:r>
      <w:r w:rsidR="00AE04DC" w:rsidRPr="001107F5">
        <w:rPr>
          <w:i/>
        </w:rPr>
        <w:t>et al</w:t>
      </w:r>
      <w:r w:rsidR="00AE04DC">
        <w:t>., 2016)</w:t>
      </w:r>
      <w:r w:rsidR="00525FF6">
        <w:t>.</w:t>
      </w:r>
      <w:r w:rsidR="004B3DC3">
        <w:t xml:space="preserve"> </w:t>
      </w:r>
      <w:r w:rsidR="008C3903">
        <w:t>If w</w:t>
      </w:r>
      <w:r w:rsidR="004B3DC3">
        <w:t xml:space="preserve">inter conditions </w:t>
      </w:r>
      <w:r w:rsidR="008C3903">
        <w:t xml:space="preserve">significantly </w:t>
      </w:r>
      <w:r w:rsidR="004B3DC3">
        <w:t xml:space="preserve">influence </w:t>
      </w:r>
      <w:r w:rsidR="008C3903">
        <w:t>recruitment</w:t>
      </w:r>
      <w:r w:rsidR="004B3DC3">
        <w:t xml:space="preserve"> </w:t>
      </w:r>
      <w:r w:rsidR="004621EA" w:rsidRPr="004621EA">
        <w:t xml:space="preserve">through direct changes to adult reproductive capacity or timing, or indirect </w:t>
      </w:r>
      <w:r w:rsidR="004621EA">
        <w:t xml:space="preserve">changes </w:t>
      </w:r>
      <w:r w:rsidR="004621EA" w:rsidRPr="004621EA">
        <w:t>through parental carryover effects</w:t>
      </w:r>
      <w:r w:rsidR="008C3903">
        <w:t xml:space="preserve">, population densities and distributions will inevitably shift with conditions.  </w:t>
      </w:r>
    </w:p>
    <w:p w14:paraId="7D11636B" w14:textId="285C3BB7" w:rsidR="00F67189" w:rsidRDefault="000F7B4B" w:rsidP="000F7B4B">
      <w:pPr>
        <w:spacing w:line="480" w:lineRule="auto"/>
        <w:ind w:firstLine="720"/>
      </w:pPr>
      <w:r>
        <w:t>A</w:t>
      </w:r>
      <w:r w:rsidR="0001445B">
        <w:t>nother</w:t>
      </w:r>
      <w:r>
        <w:t xml:space="preserve"> consideration in this study was the genetic composition of test organisms. </w:t>
      </w:r>
      <w:proofErr w:type="spellStart"/>
      <w:r w:rsidR="00F67189">
        <w:rPr>
          <w:i/>
        </w:rPr>
        <w:t>Ostrea</w:t>
      </w:r>
      <w:proofErr w:type="spellEnd"/>
      <w:r w:rsidR="00F67189">
        <w:rPr>
          <w:i/>
        </w:rPr>
        <w:t xml:space="preserve"> </w:t>
      </w:r>
      <w:proofErr w:type="spellStart"/>
      <w:r w:rsidR="00F67189">
        <w:rPr>
          <w:i/>
        </w:rPr>
        <w:t>lurida</w:t>
      </w:r>
      <w:proofErr w:type="spellEnd"/>
      <w:r w:rsidR="00F67189">
        <w:t xml:space="preserve"> exhibits varying phenotypes among distinct </w:t>
      </w:r>
      <w:r w:rsidR="00CD25B0">
        <w:t>populations (Silliman, 2019)</w:t>
      </w:r>
      <w:r w:rsidR="00F67189">
        <w:t xml:space="preserve">, which can influence their sensitivity to environmental stressors </w:t>
      </w:r>
      <w:hyperlink r:id="rId61">
        <w:r w:rsidR="00F67189">
          <w:rPr>
            <w:color w:val="000000"/>
          </w:rPr>
          <w:t xml:space="preserve">(Bible &amp; Sanford, 2016; </w:t>
        </w:r>
        <w:r w:rsidR="00F67189" w:rsidRPr="004B3DC3">
          <w:rPr>
            <w:color w:val="000000"/>
          </w:rPr>
          <w:t>Bible, Evans &amp; Sanford, 2019</w:t>
        </w:r>
        <w:r w:rsidR="00E26164">
          <w:rPr>
            <w:color w:val="000000"/>
          </w:rPr>
          <w:t xml:space="preserve">; </w:t>
        </w:r>
        <w:proofErr w:type="spellStart"/>
        <w:r w:rsidR="00E26164">
          <w:rPr>
            <w:color w:val="000000"/>
          </w:rPr>
          <w:t>Heare</w:t>
        </w:r>
        <w:proofErr w:type="spellEnd"/>
        <w:r w:rsidR="00E26164">
          <w:rPr>
            <w:color w:val="000000"/>
          </w:rPr>
          <w:t xml:space="preserve">, White, </w:t>
        </w:r>
        <w:proofErr w:type="spellStart"/>
        <w:r w:rsidR="00E26164">
          <w:rPr>
            <w:color w:val="000000"/>
          </w:rPr>
          <w:t>Vadopalas</w:t>
        </w:r>
        <w:proofErr w:type="spellEnd"/>
        <w:r w:rsidR="00E26164">
          <w:rPr>
            <w:color w:val="000000"/>
          </w:rPr>
          <w:t xml:space="preserve"> &amp; Robert, 2018</w:t>
        </w:r>
        <w:r w:rsidR="00F67189">
          <w:rPr>
            <w:color w:val="000000"/>
          </w:rPr>
          <w:t>)</w:t>
        </w:r>
      </w:hyperlink>
      <w:r w:rsidR="00F67189">
        <w:t>.</w:t>
      </w:r>
      <w:r w:rsidR="00DC511F">
        <w:rPr>
          <w:rFonts w:eastAsia="Cardo"/>
        </w:rPr>
        <w:t xml:space="preserve"> </w:t>
      </w:r>
      <w:r w:rsidR="00F67189" w:rsidRPr="001F5BDB">
        <w:t xml:space="preserve">Indeed, the two groups to measure the response of </w:t>
      </w:r>
      <w:r w:rsidR="00F67189" w:rsidRPr="001F5BDB">
        <w:rPr>
          <w:i/>
        </w:rPr>
        <w:t xml:space="preserve">O. </w:t>
      </w:r>
      <w:proofErr w:type="spellStart"/>
      <w:r w:rsidR="00F67189" w:rsidRPr="001F5BDB">
        <w:rPr>
          <w:i/>
        </w:rPr>
        <w:t>lurida</w:t>
      </w:r>
      <w:proofErr w:type="spellEnd"/>
      <w:r w:rsidR="00F67189" w:rsidRPr="001F5BDB">
        <w:rPr>
          <w:rFonts w:eastAsia="Cardo"/>
        </w:rPr>
        <w:t xml:space="preserve"> larvae to ocean acidification found contrasting results </w:t>
      </w:r>
      <w:r w:rsidR="00F67189" w:rsidRPr="001F5BDB">
        <w:rPr>
          <w:rFonts w:ascii="Cambria Math" w:eastAsia="Cardo" w:hAnsi="Cambria Math" w:cs="Cambria Math"/>
        </w:rPr>
        <w:t>⎼</w:t>
      </w:r>
      <w:r w:rsidR="00F67189" w:rsidRPr="001F5BDB">
        <w:rPr>
          <w:rFonts w:eastAsia="Cardo"/>
        </w:rPr>
        <w:t xml:space="preserve">  no effect </w:t>
      </w:r>
      <w:hyperlink r:id="rId62">
        <w:r w:rsidR="00F67189" w:rsidRPr="001F5BDB">
          <w:rPr>
            <w:color w:val="000000"/>
          </w:rPr>
          <w:t>(</w:t>
        </w:r>
        <w:proofErr w:type="spellStart"/>
        <w:r w:rsidR="00F67189" w:rsidRPr="001F5BDB">
          <w:rPr>
            <w:color w:val="000000"/>
          </w:rPr>
          <w:t>Waldbusser</w:t>
        </w:r>
        <w:proofErr w:type="spellEnd"/>
        <w:r w:rsidR="00F67189" w:rsidRPr="001F5BDB">
          <w:rPr>
            <w:color w:val="000000"/>
          </w:rPr>
          <w:t xml:space="preserve"> </w:t>
        </w:r>
      </w:hyperlink>
      <w:hyperlink r:id="rId63">
        <w:r w:rsidR="00F67189" w:rsidRPr="001F5BDB">
          <w:rPr>
            <w:i/>
            <w:color w:val="000000"/>
          </w:rPr>
          <w:t>et al.</w:t>
        </w:r>
      </w:hyperlink>
      <w:hyperlink r:id="rId64">
        <w:r w:rsidR="00F67189" w:rsidRPr="001F5BDB">
          <w:rPr>
            <w:color w:val="000000"/>
          </w:rPr>
          <w:t>, 2016)</w:t>
        </w:r>
      </w:hyperlink>
      <w:r w:rsidR="00F67189" w:rsidRPr="001F5BDB">
        <w:t xml:space="preserve">, and slower growth </w:t>
      </w:r>
      <w:hyperlink r:id="rId65">
        <w:r w:rsidR="00F67189" w:rsidRPr="001F5BDB">
          <w:rPr>
            <w:color w:val="000000"/>
          </w:rPr>
          <w:t xml:space="preserve">(Hettinger </w:t>
        </w:r>
      </w:hyperlink>
      <w:hyperlink r:id="rId66">
        <w:r w:rsidR="00F67189" w:rsidRPr="001F5BDB">
          <w:rPr>
            <w:i/>
            <w:color w:val="000000"/>
          </w:rPr>
          <w:t>et al.</w:t>
        </w:r>
      </w:hyperlink>
      <w:hyperlink r:id="rId67">
        <w:r w:rsidR="00F67189" w:rsidRPr="001F5BDB">
          <w:rPr>
            <w:color w:val="000000"/>
          </w:rPr>
          <w:t>, 201</w:t>
        </w:r>
      </w:hyperlink>
      <w:hyperlink r:id="rId68">
        <w:r w:rsidR="00F67189" w:rsidRPr="001F5BDB">
          <w:t>2</w:t>
        </w:r>
      </w:hyperlink>
      <w:hyperlink r:id="rId69">
        <w:r w:rsidR="00F67189" w:rsidRPr="001F5BDB">
          <w:rPr>
            <w:color w:val="000000"/>
          </w:rPr>
          <w:t>, 201</w:t>
        </w:r>
      </w:hyperlink>
      <w:hyperlink r:id="rId70">
        <w:r w:rsidR="00F67189" w:rsidRPr="001F5BDB">
          <w:t>3</w:t>
        </w:r>
      </w:hyperlink>
      <w:hyperlink r:id="rId71">
        <w:r w:rsidR="00F67189" w:rsidRPr="001F5BDB">
          <w:rPr>
            <w:color w:val="000000"/>
          </w:rPr>
          <w:t>)</w:t>
        </w:r>
      </w:hyperlink>
      <w:r w:rsidR="00F67189" w:rsidRPr="001F5BDB">
        <w:rPr>
          <w:rFonts w:eastAsia="Cardo"/>
        </w:rPr>
        <w:t xml:space="preserve"> </w:t>
      </w:r>
      <w:r w:rsidR="00F67189" w:rsidRPr="001F5BDB">
        <w:rPr>
          <w:rFonts w:ascii="Cambria Math" w:eastAsia="Cardo" w:hAnsi="Cambria Math" w:cs="Cambria Math"/>
        </w:rPr>
        <w:t>⎼</w:t>
      </w:r>
      <w:r w:rsidR="00F67189" w:rsidRPr="001F5BDB">
        <w:rPr>
          <w:rFonts w:eastAsia="Cardo"/>
        </w:rPr>
        <w:t xml:space="preserve">  possibly a result of local adaptation. </w:t>
      </w:r>
      <w:r w:rsidR="00F67189" w:rsidRPr="001F5BDB">
        <w:t>T</w:t>
      </w:r>
      <w:r w:rsidR="00F67189">
        <w:t>he source population used for experimental studies may therefore be a critical factor influencing climate-related findings</w:t>
      </w:r>
      <w:r w:rsidR="000731AB">
        <w:t xml:space="preserve">. Furthermore, testing genetically diverse organisms could reveal </w:t>
      </w:r>
      <w:r w:rsidR="00961A52">
        <w:t>cryptic genetic variatio</w:t>
      </w:r>
      <w:r w:rsidR="0001445B">
        <w:t>n</w:t>
      </w:r>
      <w:r w:rsidR="005577E9">
        <w:t>,</w:t>
      </w:r>
      <w:r w:rsidR="0001445B">
        <w:t xml:space="preserve"> </w:t>
      </w:r>
      <w:r w:rsidR="000731AB">
        <w:t>alleles that confer stress resilience</w:t>
      </w:r>
      <w:r w:rsidR="00B2659C">
        <w:t xml:space="preserve"> </w:t>
      </w:r>
      <w:r w:rsidR="000731AB">
        <w:t>only under certain settings</w:t>
      </w:r>
      <w:r w:rsidR="00FB58E9">
        <w:t xml:space="preserve"> (</w:t>
      </w:r>
      <w:proofErr w:type="spellStart"/>
      <w:r w:rsidR="00961A52">
        <w:t>Paaby</w:t>
      </w:r>
      <w:proofErr w:type="spellEnd"/>
      <w:r w:rsidR="00961A52">
        <w:t xml:space="preserve"> &amp; Rockman, 2014; </w:t>
      </w:r>
      <w:r w:rsidR="00FB58E9">
        <w:t xml:space="preserve">Bitter </w:t>
      </w:r>
      <w:r w:rsidR="00FB58E9" w:rsidRPr="0085655B">
        <w:rPr>
          <w:i/>
        </w:rPr>
        <w:t>et al.</w:t>
      </w:r>
      <w:r w:rsidR="00FB58E9">
        <w:t xml:space="preserve">, </w:t>
      </w:r>
      <w:r w:rsidR="00961A52" w:rsidRPr="00242447">
        <w:rPr>
          <w:i/>
        </w:rPr>
        <w:t>preprint</w:t>
      </w:r>
      <w:r w:rsidR="00FB58E9">
        <w:t>)</w:t>
      </w:r>
      <w:r w:rsidR="00B2659C">
        <w:t xml:space="preserve">, which has </w:t>
      </w:r>
      <w:r w:rsidR="008B7847">
        <w:t>implications for</w:t>
      </w:r>
      <w:r w:rsidR="000731AB">
        <w:t xml:space="preserve"> how</w:t>
      </w:r>
      <w:r w:rsidR="008B7847">
        <w:t xml:space="preserve"> wild populations</w:t>
      </w:r>
      <w:r w:rsidR="000731AB">
        <w:t xml:space="preserve"> are restored</w:t>
      </w:r>
      <w:r w:rsidR="00DC511F">
        <w:t xml:space="preserve">. </w:t>
      </w:r>
      <w:r>
        <w:t>Therefore, we tested three phenotypically distinct Puget Sound populations</w:t>
      </w:r>
      <w:r w:rsidR="00CD25B0">
        <w:t xml:space="preserve"> (</w:t>
      </w:r>
      <w:proofErr w:type="spellStart"/>
      <w:r w:rsidR="00CD25B0" w:rsidRPr="00CD25B0">
        <w:t>Heare</w:t>
      </w:r>
      <w:proofErr w:type="spellEnd"/>
      <w:r w:rsidR="00CD25B0" w:rsidRPr="00CD25B0">
        <w:t xml:space="preserve">, Blake, Davis, </w:t>
      </w:r>
      <w:proofErr w:type="spellStart"/>
      <w:r w:rsidR="00CD25B0" w:rsidRPr="00CD25B0">
        <w:t>Vadopalas</w:t>
      </w:r>
      <w:proofErr w:type="spellEnd"/>
      <w:r w:rsidR="00CD25B0" w:rsidRPr="00CD25B0">
        <w:t>, &amp; Roberts, 2017; Silliman, Bowyer, &amp; Roberts, 2018</w:t>
      </w:r>
      <w:r w:rsidR="00CD25B0">
        <w:t>)</w:t>
      </w:r>
      <w:r>
        <w:t>, which were hatchery-reared in common conditions to adulthood</w:t>
      </w:r>
      <w:r w:rsidR="00E52028">
        <w:t xml:space="preserve">, </w:t>
      </w:r>
      <w:r w:rsidR="00CD25B0">
        <w:t>to</w:t>
      </w:r>
      <w:r w:rsidR="00F747D6">
        <w:t xml:space="preserve"> account for intraspecific variation </w:t>
      </w:r>
      <w:r w:rsidR="00CD25B0">
        <w:t xml:space="preserve">while </w:t>
      </w:r>
      <w:r w:rsidR="00F747D6">
        <w:t>controlling</w:t>
      </w:r>
      <w:r w:rsidR="00CD25B0">
        <w:t xml:space="preserve"> for within-generation carryover effects </w:t>
      </w:r>
      <w:hyperlink r:id="rId72">
        <w:r w:rsidR="00CD25B0" w:rsidRPr="001F5BDB">
          <w:rPr>
            <w:color w:val="000000"/>
          </w:rPr>
          <w:t xml:space="preserve">(Hettinger </w:t>
        </w:r>
      </w:hyperlink>
      <w:hyperlink r:id="rId73">
        <w:r w:rsidR="00CD25B0" w:rsidRPr="001F5BDB">
          <w:rPr>
            <w:i/>
            <w:color w:val="000000"/>
          </w:rPr>
          <w:t>et al.</w:t>
        </w:r>
      </w:hyperlink>
      <w:hyperlink r:id="rId74">
        <w:r w:rsidR="00CD25B0" w:rsidRPr="001F5BDB">
          <w:rPr>
            <w:color w:val="000000"/>
          </w:rPr>
          <w:t>, 201</w:t>
        </w:r>
      </w:hyperlink>
      <w:hyperlink r:id="rId75">
        <w:r w:rsidR="00CD25B0" w:rsidRPr="001F5BDB">
          <w:t>2</w:t>
        </w:r>
      </w:hyperlink>
      <w:hyperlink r:id="rId76">
        <w:r w:rsidR="00CD25B0" w:rsidRPr="001F5BDB">
          <w:rPr>
            <w:color w:val="000000"/>
          </w:rPr>
          <w:t>, 201</w:t>
        </w:r>
      </w:hyperlink>
      <w:hyperlink r:id="rId77">
        <w:r w:rsidR="00CD25B0" w:rsidRPr="001F5BDB">
          <w:t>3</w:t>
        </w:r>
      </w:hyperlink>
      <w:hyperlink r:id="rId78">
        <w:r w:rsidR="00CD25B0" w:rsidRPr="001F5BDB">
          <w:rPr>
            <w:color w:val="000000"/>
          </w:rPr>
          <w:t>)</w:t>
        </w:r>
      </w:hyperlink>
      <w:r w:rsidR="00CD25B0">
        <w:rPr>
          <w:color w:val="000000"/>
        </w:rPr>
        <w:t>.</w:t>
      </w:r>
      <w:r w:rsidR="00F747D6">
        <w:rPr>
          <w:color w:val="000000"/>
        </w:rPr>
        <w:t xml:space="preserve"> </w:t>
      </w:r>
    </w:p>
    <w:p w14:paraId="5BF42C3A" w14:textId="3E6037B0" w:rsidR="00D64A77" w:rsidRDefault="0001445B" w:rsidP="00C56A3D">
      <w:pPr>
        <w:spacing w:line="480" w:lineRule="auto"/>
        <w:ind w:firstLine="720"/>
      </w:pPr>
      <w:r>
        <w:t xml:space="preserve">Our study </w:t>
      </w:r>
      <w:r w:rsidR="001554ED">
        <w:t>is the first to assess the combined effects of elevated winter temperature and pCO</w:t>
      </w:r>
      <w:r w:rsidR="001554ED">
        <w:rPr>
          <w:vertAlign w:val="subscript"/>
        </w:rPr>
        <w:t>2</w:t>
      </w:r>
      <w:r w:rsidR="001554ED">
        <w:t xml:space="preserve"> on reproduction, and to explore intergenerational carryover in an </w:t>
      </w:r>
      <w:proofErr w:type="spellStart"/>
      <w:r w:rsidR="001554ED">
        <w:rPr>
          <w:i/>
        </w:rPr>
        <w:t>Ostrea</w:t>
      </w:r>
      <w:proofErr w:type="spellEnd"/>
      <w:r w:rsidR="001554ED">
        <w:t xml:space="preserve"> spp. We exposed adult </w:t>
      </w:r>
      <w:r w:rsidR="001554ED">
        <w:rPr>
          <w:i/>
        </w:rPr>
        <w:t xml:space="preserve">O. </w:t>
      </w:r>
      <w:proofErr w:type="spellStart"/>
      <w:r w:rsidR="001554ED">
        <w:rPr>
          <w:i/>
        </w:rPr>
        <w:t>lurida</w:t>
      </w:r>
      <w:proofErr w:type="spellEnd"/>
      <w:r w:rsidR="001554ED">
        <w:rPr>
          <w:i/>
        </w:rPr>
        <w:t xml:space="preserve"> </w:t>
      </w:r>
      <w:r w:rsidR="001554ED">
        <w:t>to elevated temperature (+4°C), followed by elevated pCO</w:t>
      </w:r>
      <w:r w:rsidR="001554ED">
        <w:rPr>
          <w:vertAlign w:val="subscript"/>
        </w:rPr>
        <w:t>2</w:t>
      </w:r>
      <w:r w:rsidR="001554ED">
        <w:t xml:space="preserve"> (+2204 µ</w:t>
      </w:r>
      <w:proofErr w:type="spellStart"/>
      <w:r w:rsidR="001554ED">
        <w:t>atm</w:t>
      </w:r>
      <w:proofErr w:type="spellEnd"/>
      <w:r w:rsidR="001554ED">
        <w:t xml:space="preserve">, -0.51 </w:t>
      </w:r>
      <w:r w:rsidR="001554ED">
        <w:lastRenderedPageBreak/>
        <w:t>pH). Gonad development, reproductive timing, and fecundity were assessed for the adults</w:t>
      </w:r>
      <w:r w:rsidR="00C82D8C">
        <w:t xml:space="preserve"> in the laboratory</w:t>
      </w:r>
      <w:r w:rsidR="001554ED">
        <w:t>, and offspring performance was assessed in the field. Elevated winter temperature was expected to impede gametogenic quiescence, presumably a critical annual event, subsequently reducing larval production. This prediction was in part based on observations of low larval yields in an</w:t>
      </w:r>
      <w:r w:rsidR="001554ED">
        <w:rPr>
          <w:i/>
        </w:rPr>
        <w:t xml:space="preserve"> O. </w:t>
      </w:r>
      <w:proofErr w:type="spellStart"/>
      <w:r w:rsidR="001554ED">
        <w:rPr>
          <w:i/>
        </w:rPr>
        <w:t>lurida</w:t>
      </w:r>
      <w:proofErr w:type="spellEnd"/>
      <w:r w:rsidR="001554ED">
        <w:t xml:space="preserve"> restoration hatchery (</w:t>
      </w:r>
      <w:r w:rsidR="001F5BDB">
        <w:t xml:space="preserve">Ryan </w:t>
      </w:r>
      <w:proofErr w:type="spellStart"/>
      <w:r w:rsidR="001F5BDB">
        <w:t>Crim</w:t>
      </w:r>
      <w:proofErr w:type="spellEnd"/>
      <w:r w:rsidR="001F5BDB">
        <w:t xml:space="preserve">, </w:t>
      </w:r>
      <w:r w:rsidR="001554ED">
        <w:rPr>
          <w:i/>
        </w:rPr>
        <w:t>unpublished</w:t>
      </w:r>
      <w:r w:rsidR="001554ED">
        <w:t xml:space="preserve">) following the winter 2016 marine heat wave in the Northeast Pacific Ocean </w:t>
      </w:r>
      <w:hyperlink r:id="rId79">
        <w:r w:rsidR="001554ED">
          <w:rPr>
            <w:color w:val="000000"/>
          </w:rPr>
          <w:t>(</w:t>
        </w:r>
        <w:proofErr w:type="spellStart"/>
        <w:r w:rsidR="001554ED">
          <w:rPr>
            <w:color w:val="000000"/>
          </w:rPr>
          <w:t>Gentemann</w:t>
        </w:r>
        <w:proofErr w:type="spellEnd"/>
        <w:r w:rsidR="001554ED">
          <w:rPr>
            <w:color w:val="000000"/>
          </w:rPr>
          <w:t xml:space="preserve">, </w:t>
        </w:r>
        <w:proofErr w:type="spellStart"/>
        <w:r w:rsidR="001554ED">
          <w:rPr>
            <w:color w:val="000000"/>
          </w:rPr>
          <w:t>Fewings</w:t>
        </w:r>
        <w:proofErr w:type="spellEnd"/>
        <w:r w:rsidR="001554ED">
          <w:rPr>
            <w:color w:val="000000"/>
          </w:rPr>
          <w:t>, &amp; García-Reyes, 2017)</w:t>
        </w:r>
      </w:hyperlink>
      <w:r w:rsidR="001554ED">
        <w:t>. Similarly, we predicted that high pCO</w:t>
      </w:r>
      <w:r w:rsidR="001554ED">
        <w:rPr>
          <w:vertAlign w:val="subscript"/>
        </w:rPr>
        <w:t>2</w:t>
      </w:r>
      <w:r w:rsidR="001554ED">
        <w:t xml:space="preserve"> exposure would result in negative impacts due to increased energy requirements for calcification and cellular maintenance. Finally, we predicted that negative impacts would be amplified</w:t>
      </w:r>
      <w:r w:rsidR="00AE7478">
        <w:t xml:space="preserve"> </w:t>
      </w:r>
      <w:r w:rsidR="001554ED">
        <w:t>upon exposure to both conditions. By assessing the effect</w:t>
      </w:r>
      <w:r w:rsidR="009741C9">
        <w:t>s</w:t>
      </w:r>
      <w:r w:rsidR="001554ED">
        <w:t xml:space="preserve"> of winter warming and acidification on reproduction and offspring viability in multiple Olympia oyster populations, we provide an ecologically relevant picture of how the species will respond to ocean change. </w:t>
      </w:r>
    </w:p>
    <w:p w14:paraId="716EF645" w14:textId="2D59C900" w:rsidR="00D64A77" w:rsidRPr="002B18E0" w:rsidRDefault="001554ED" w:rsidP="002B18E0">
      <w:pPr>
        <w:spacing w:before="360" w:after="240" w:line="480" w:lineRule="auto"/>
        <w:rPr>
          <w:b/>
          <w:sz w:val="36"/>
          <w:szCs w:val="36"/>
        </w:rPr>
      </w:pPr>
      <w:r>
        <w:rPr>
          <w:b/>
          <w:sz w:val="36"/>
          <w:szCs w:val="36"/>
        </w:rPr>
        <w:t xml:space="preserve">Methods </w:t>
      </w:r>
    </w:p>
    <w:p w14:paraId="6B6A7594" w14:textId="5EAAA654" w:rsidR="00D64A77" w:rsidRPr="00C56A3D" w:rsidRDefault="001554ED" w:rsidP="00C56A3D">
      <w:pPr>
        <w:spacing w:before="360" w:line="480" w:lineRule="auto"/>
        <w:rPr>
          <w:b/>
        </w:rPr>
      </w:pPr>
      <w:r>
        <w:rPr>
          <w:b/>
        </w:rPr>
        <w:t>Adult oyster temperature and pCO</w:t>
      </w:r>
      <w:r>
        <w:rPr>
          <w:b/>
          <w:vertAlign w:val="subscript"/>
        </w:rPr>
        <w:t>2</w:t>
      </w:r>
      <w:r>
        <w:rPr>
          <w:b/>
        </w:rPr>
        <w:t xml:space="preserve"> exposures</w:t>
      </w:r>
    </w:p>
    <w:p w14:paraId="6E2D981D" w14:textId="389202AE" w:rsidR="00D64A77" w:rsidRDefault="001554ED" w:rsidP="00C56A3D">
      <w:pPr>
        <w:spacing w:line="480" w:lineRule="auto"/>
      </w:pPr>
      <w:r>
        <w:t xml:space="preserve">Four cohorts of adult </w:t>
      </w:r>
      <w:proofErr w:type="spellStart"/>
      <w:r>
        <w:rPr>
          <w:i/>
        </w:rPr>
        <w:t>Ostrea</w:t>
      </w:r>
      <w:proofErr w:type="spellEnd"/>
      <w:r>
        <w:rPr>
          <w:i/>
        </w:rPr>
        <w:t xml:space="preserve"> </w:t>
      </w:r>
      <w:proofErr w:type="spellStart"/>
      <w:r>
        <w:rPr>
          <w:i/>
        </w:rPr>
        <w:t>lurida</w:t>
      </w:r>
      <w:proofErr w:type="spellEnd"/>
      <w:r>
        <w:t xml:space="preserve"> were used in this study. Three of the cohorts were first-generation hatchery-produced (F1) oysters (32.1 ± 5.0 mm), all hatched in Puget Sound (Port Gamble Bay) in 2013 </w:t>
      </w:r>
      <w:hyperlink r:id="rId80">
        <w:r>
          <w:rPr>
            <w:color w:val="000000"/>
          </w:rPr>
          <w:t>(</w:t>
        </w:r>
        <w:proofErr w:type="spellStart"/>
        <w:r>
          <w:rPr>
            <w:color w:val="000000"/>
          </w:rPr>
          <w:t>Heare</w:t>
        </w:r>
        <w:proofErr w:type="spellEnd"/>
        <w:r>
          <w:rPr>
            <w:color w:val="000000"/>
          </w:rPr>
          <w:t xml:space="preserve"> </w:t>
        </w:r>
      </w:hyperlink>
      <w:hyperlink r:id="rId81">
        <w:r>
          <w:rPr>
            <w:i/>
            <w:color w:val="000000"/>
          </w:rPr>
          <w:t>et al</w:t>
        </w:r>
      </w:hyperlink>
      <w:hyperlink r:id="rId82">
        <w:r>
          <w:rPr>
            <w:color w:val="000000"/>
          </w:rPr>
          <w:t>., 201</w:t>
        </w:r>
      </w:hyperlink>
      <w:hyperlink r:id="rId83">
        <w:r>
          <w:t>7</w:t>
        </w:r>
      </w:hyperlink>
      <w:hyperlink r:id="rId84">
        <w:r>
          <w:rPr>
            <w:color w:val="000000"/>
          </w:rPr>
          <w:t>)</w:t>
        </w:r>
      </w:hyperlink>
      <w:r>
        <w:t xml:space="preserve">. The </w:t>
      </w:r>
      <w:proofErr w:type="spellStart"/>
      <w:r>
        <w:t>broodstock</w:t>
      </w:r>
      <w:proofErr w:type="spellEnd"/>
      <w:r>
        <w:t xml:space="preserve"> used to produce these F1 oysters were wild, harvested from </w:t>
      </w:r>
      <w:proofErr w:type="spellStart"/>
      <w:r>
        <w:t>Fidalgo</w:t>
      </w:r>
      <w:proofErr w:type="spellEnd"/>
      <w:r>
        <w:t xml:space="preserve"> Bay in North Puget Sound (F), </w:t>
      </w:r>
      <w:proofErr w:type="spellStart"/>
      <w:r>
        <w:t>Dabob</w:t>
      </w:r>
      <w:proofErr w:type="spellEnd"/>
      <w:r>
        <w:t xml:space="preserve"> Bay in Hood Canal (D), and Oyster Bay in South Puget Sound (O-1) (O in Figure 1). These populations are considered </w:t>
      </w:r>
      <w:r w:rsidR="00D676B4">
        <w:t>phenotypically</w:t>
      </w:r>
      <w:r>
        <w:t xml:space="preserve"> distinct subpopulations </w:t>
      </w:r>
      <w:hyperlink r:id="rId85">
        <w:r>
          <w:rPr>
            <w:color w:val="000000"/>
          </w:rPr>
          <w:t>(</w:t>
        </w:r>
        <w:proofErr w:type="spellStart"/>
        <w:r>
          <w:rPr>
            <w:color w:val="000000"/>
          </w:rPr>
          <w:t>Heare</w:t>
        </w:r>
        <w:proofErr w:type="spellEnd"/>
        <w:r>
          <w:rPr>
            <w:color w:val="000000"/>
          </w:rPr>
          <w:t xml:space="preserve"> </w:t>
        </w:r>
      </w:hyperlink>
      <w:hyperlink r:id="rId86">
        <w:r>
          <w:rPr>
            <w:i/>
            <w:color w:val="000000"/>
          </w:rPr>
          <w:t>et al.</w:t>
        </w:r>
      </w:hyperlink>
      <w:hyperlink r:id="rId87">
        <w:r>
          <w:rPr>
            <w:color w:val="000000"/>
          </w:rPr>
          <w:t xml:space="preserve">, 2017; White, </w:t>
        </w:r>
        <w:proofErr w:type="spellStart"/>
        <w:r>
          <w:rPr>
            <w:color w:val="000000"/>
          </w:rPr>
          <w:t>Vadopalas</w:t>
        </w:r>
        <w:proofErr w:type="spellEnd"/>
        <w:r>
          <w:rPr>
            <w:color w:val="000000"/>
          </w:rPr>
          <w:t>, Silliman, &amp; Roberts, 2017)</w:t>
        </w:r>
      </w:hyperlink>
      <w:r>
        <w:t>. The fourth cohort (O-2, 21.9 ± 3.3 mm) was second-generation, hatchery-produced</w:t>
      </w:r>
      <w:r w:rsidR="009741C9">
        <w:t xml:space="preserve"> in 2015</w:t>
      </w:r>
      <w:r>
        <w:t xml:space="preserve"> from the aforementioned Oyster Bay F1 cohort</w:t>
      </w:r>
      <w:r w:rsidR="009741C9">
        <w:t>,</w:t>
      </w:r>
      <w:r>
        <w:t xml:space="preserve"> from a single larval release </w:t>
      </w:r>
      <w:r>
        <w:lastRenderedPageBreak/>
        <w:t>pulse and thus likely one family (</w:t>
      </w:r>
      <w:r w:rsidR="00CD25B0" w:rsidRPr="00CD25B0">
        <w:t>Silliman, Bowyer, &amp; Roberts, 2018</w:t>
      </w:r>
      <w:r>
        <w:t>). The O-2 cohort was included to examine whether reproductive and offspring traits were consistent across generations of a population, with the O-2 cohort being closely related to each other (siblings) and 2 years younger than the other cohorts. Prior to the experiment, all oysters were maintained in pearl nets in Clam Bay (C) for a minimum of 500 days.</w:t>
      </w:r>
    </w:p>
    <w:p w14:paraId="6631795C" w14:textId="77777777" w:rsidR="00D64A77" w:rsidRDefault="00D64A77" w:rsidP="00C56A3D">
      <w:pPr>
        <w:suppressLineNumbers/>
        <w:spacing w:line="480" w:lineRule="auto"/>
        <w:ind w:firstLine="720"/>
      </w:pPr>
    </w:p>
    <w:p w14:paraId="13099CC2" w14:textId="77777777" w:rsidR="00D64A77" w:rsidRDefault="001554ED" w:rsidP="00C56A3D">
      <w:pPr>
        <w:spacing w:line="480" w:lineRule="auto"/>
        <w:rPr>
          <w:b/>
        </w:rPr>
      </w:pPr>
      <w:r>
        <w:rPr>
          <w:b/>
        </w:rPr>
        <w:t>Temperature treatment</w:t>
      </w:r>
    </w:p>
    <w:p w14:paraId="72CF8C40" w14:textId="39A13C1C" w:rsidR="00D64A77" w:rsidRDefault="001554ED" w:rsidP="00C56A3D">
      <w:pPr>
        <w:spacing w:line="480" w:lineRule="auto"/>
      </w:pPr>
      <w:r>
        <w:t>Oysters were moved from Clam Bay (C) to the Kenneth K. Chew Center for Shellfish Research and Restoration for the temperature and pCO</w:t>
      </w:r>
      <w:r>
        <w:rPr>
          <w:vertAlign w:val="subscript"/>
        </w:rPr>
        <w:t>2</w:t>
      </w:r>
      <w:r>
        <w:t xml:space="preserve"> experiments. Oysters were held in one of two temperature regimes (6.1±0.2°C and 10.2±0.5°C) for 60 days beginning December 6, 2016 (Figure 2). The temperatures correspond to historic local winter temperature (6°C) in Clam Bay, and anomalously warm winter temperature (10°C) as experienced during 2014-2016 </w:t>
      </w:r>
      <w:hyperlink r:id="rId88">
        <w:r>
          <w:rPr>
            <w:color w:val="000000"/>
          </w:rPr>
          <w:t>(</w:t>
        </w:r>
        <w:proofErr w:type="spellStart"/>
        <w:r>
          <w:rPr>
            <w:color w:val="000000"/>
          </w:rPr>
          <w:t>Gentemann</w:t>
        </w:r>
        <w:proofErr w:type="spellEnd"/>
        <w:r>
          <w:rPr>
            <w:color w:val="000000"/>
          </w:rPr>
          <w:t xml:space="preserve"> </w:t>
        </w:r>
      </w:hyperlink>
      <w:hyperlink r:id="rId89">
        <w:r>
          <w:rPr>
            <w:i/>
            <w:color w:val="000000"/>
          </w:rPr>
          <w:t>et al.</w:t>
        </w:r>
      </w:hyperlink>
      <w:hyperlink r:id="rId90">
        <w:r>
          <w:rPr>
            <w:color w:val="000000"/>
          </w:rPr>
          <w:t>, 2017)</w:t>
        </w:r>
      </w:hyperlink>
      <w:r>
        <w:t>. For the temperature exposure, oysters from each cohort (100 for O-1 and F cohorts, 60 for D, and 300 for O-2) were divided into four bags, two bags per temperature, in two flow-through experimental tanks (50L - 1.2-L/min). Temperature in the 6°C treatment was maintained using a</w:t>
      </w:r>
      <w:r w:rsidR="00DD380E">
        <w:t>n aquarium chiller,</w:t>
      </w:r>
      <w:r>
        <w:t xml:space="preserve"> and </w:t>
      </w:r>
      <w:proofErr w:type="spellStart"/>
      <w:r>
        <w:t>unchilled</w:t>
      </w:r>
      <w:proofErr w:type="spellEnd"/>
      <w:r>
        <w:t xml:space="preserve"> water was used for the 10°C treatment. Temperatures were recorded continuously with </w:t>
      </w:r>
      <w:r w:rsidR="00DD380E">
        <w:t>water temperature data loggers</w:t>
      </w:r>
      <w:r>
        <w:t xml:space="preserve">. </w:t>
      </w:r>
    </w:p>
    <w:p w14:paraId="1F4461EC" w14:textId="77777777" w:rsidR="00D64A77" w:rsidRDefault="00D64A77" w:rsidP="00C56A3D">
      <w:pPr>
        <w:suppressLineNumbers/>
        <w:spacing w:line="480" w:lineRule="auto"/>
      </w:pPr>
    </w:p>
    <w:p w14:paraId="1D6D5927" w14:textId="77777777" w:rsidR="00D64A77" w:rsidRDefault="001554ED" w:rsidP="00C56A3D">
      <w:pPr>
        <w:spacing w:line="480" w:lineRule="auto"/>
        <w:rPr>
          <w:b/>
        </w:rPr>
      </w:pPr>
      <w:r>
        <w:rPr>
          <w:b/>
        </w:rPr>
        <w:t>High pCO</w:t>
      </w:r>
      <w:r>
        <w:rPr>
          <w:b/>
          <w:vertAlign w:val="subscript"/>
        </w:rPr>
        <w:t>2</w:t>
      </w:r>
      <w:r>
        <w:rPr>
          <w:b/>
        </w:rPr>
        <w:t xml:space="preserve"> treatment</w:t>
      </w:r>
    </w:p>
    <w:p w14:paraId="0B5CA533" w14:textId="6604AAF7" w:rsidR="00DD380E" w:rsidRDefault="001554ED" w:rsidP="00C56A3D">
      <w:pPr>
        <w:spacing w:line="480" w:lineRule="auto"/>
      </w:pPr>
      <w:r>
        <w:t>A differential pCO</w:t>
      </w:r>
      <w:r>
        <w:rPr>
          <w:vertAlign w:val="subscript"/>
        </w:rPr>
        <w:t>2</w:t>
      </w:r>
      <w:r>
        <w:t xml:space="preserve"> exposure was carried out after the temperature treatment ended. Following a 10-day gradual temperature increase for the 6°C treatment to 10°C, oysters were further divided and held at ambient pCO</w:t>
      </w:r>
      <w:r>
        <w:rPr>
          <w:vertAlign w:val="subscript"/>
        </w:rPr>
        <w:t>2</w:t>
      </w:r>
      <w:r>
        <w:t xml:space="preserve"> (841±85 µ</w:t>
      </w:r>
      <w:proofErr w:type="spellStart"/>
      <w:r>
        <w:t>atm</w:t>
      </w:r>
      <w:proofErr w:type="spellEnd"/>
      <w:r>
        <w:t>, pH 7.82±0.02) or high pCO</w:t>
      </w:r>
      <w:r>
        <w:rPr>
          <w:vertAlign w:val="subscript"/>
        </w:rPr>
        <w:t>2</w:t>
      </w:r>
      <w:r>
        <w:t xml:space="preserve"> (3045±488 µ</w:t>
      </w:r>
      <w:proofErr w:type="spellStart"/>
      <w:r>
        <w:t>atm</w:t>
      </w:r>
      <w:proofErr w:type="spellEnd"/>
      <w:r>
        <w:t>, pH 7.31 ± 0.02) for 52 days (February 1</w:t>
      </w:r>
      <w:r w:rsidR="009741C9">
        <w:t>6</w:t>
      </w:r>
      <w:r>
        <w:t xml:space="preserve"> to April 8, 2017, Figure 2). Animals were housed in six flow-</w:t>
      </w:r>
      <w:r>
        <w:lastRenderedPageBreak/>
        <w:t>through tanks (50-L - 1.2-L/min), with three replicate tanks per pCO</w:t>
      </w:r>
      <w:r>
        <w:rPr>
          <w:vertAlign w:val="subscript"/>
        </w:rPr>
        <w:t>2</w:t>
      </w:r>
      <w:r>
        <w:t xml:space="preserve"> treatment and oyster cohort. High pCO</w:t>
      </w:r>
      <w:r>
        <w:rPr>
          <w:vertAlign w:val="subscript"/>
        </w:rPr>
        <w:t>2</w:t>
      </w:r>
      <w:r>
        <w:t xml:space="preserve"> treated water was prepared using CO</w:t>
      </w:r>
      <w:r>
        <w:rPr>
          <w:vertAlign w:val="subscript"/>
        </w:rPr>
        <w:t>2</w:t>
      </w:r>
      <w:r>
        <w:t xml:space="preserve"> injection. Filtered seawater (1µm) first recirculated through a reservoir (1,610-L) with </w:t>
      </w:r>
      <w:r w:rsidR="00D676B4">
        <w:t xml:space="preserve">a </w:t>
      </w:r>
      <w:r>
        <w:t xml:space="preserve">degassing column to equilibrate with the atmosphere, then flowed into treatment reservoirs (757-L) recirculating through </w:t>
      </w:r>
      <w:proofErr w:type="spellStart"/>
      <w:r>
        <w:t>venturi</w:t>
      </w:r>
      <w:proofErr w:type="spellEnd"/>
      <w:r>
        <w:t xml:space="preserve"> injectors. </w:t>
      </w:r>
      <w:proofErr w:type="spellStart"/>
      <w:r>
        <w:t>Durafet</w:t>
      </w:r>
      <w:proofErr w:type="spellEnd"/>
      <w:r>
        <w:t xml:space="preserve"> pH </w:t>
      </w:r>
      <w:r w:rsidR="00DD380E">
        <w:t>sensors</w:t>
      </w:r>
      <w:r>
        <w:t xml:space="preserve"> and a Dual Input Analytical Analyzer monitored pH in treatment reservoirs with readings every 180 seconds. Using solenoid valves, CO</w:t>
      </w:r>
      <w:r>
        <w:rPr>
          <w:vertAlign w:val="subscript"/>
        </w:rPr>
        <w:t>2</w:t>
      </w:r>
      <w:r>
        <w:t xml:space="preserve"> gas was injected through lines at 15 psi in 0.4 second pulses if pH exceeded the 7.22 set point. Water pH was continuously monitored in experimental tanks using </w:t>
      </w:r>
      <w:proofErr w:type="spellStart"/>
      <w:r>
        <w:t>Durafet</w:t>
      </w:r>
      <w:proofErr w:type="spellEnd"/>
      <w:r>
        <w:t xml:space="preserve"> pH sensors, and temperature (10.4 ± 0.4°C) was measured using </w:t>
      </w:r>
      <w:r w:rsidR="00DD380E">
        <w:t>water temperature data loggers</w:t>
      </w:r>
      <w:r>
        <w:t>. Twice weekly, water samples (1-L) were collected from experimental tanks</w:t>
      </w:r>
      <w:r w:rsidR="009741C9">
        <w:t>,</w:t>
      </w:r>
      <w:r>
        <w:t xml:space="preserve"> and temperature (°C), salinity (PSU), and pH (mV, converted to </w:t>
      </w:r>
      <w:proofErr w:type="spellStart"/>
      <w:r>
        <w:t>pH</w:t>
      </w:r>
      <w:r>
        <w:rPr>
          <w:vertAlign w:val="subscript"/>
        </w:rPr>
        <w:t>T</w:t>
      </w:r>
      <w:proofErr w:type="spellEnd"/>
      <w:r>
        <w:t xml:space="preserve">) were measured immediately using </w:t>
      </w:r>
      <w:r w:rsidR="00DD380E">
        <w:t>a digital thermometer</w:t>
      </w:r>
      <w:r>
        <w:t xml:space="preserve">, </w:t>
      </w:r>
      <w:r w:rsidR="00DD380E">
        <w:t>c</w:t>
      </w:r>
      <w:r>
        <w:t xml:space="preserve">onductivity </w:t>
      </w:r>
      <w:r w:rsidR="00DD380E">
        <w:t>m</w:t>
      </w:r>
      <w:r>
        <w:t xml:space="preserve">eter, and pH </w:t>
      </w:r>
      <w:r w:rsidR="00DD380E">
        <w:t>e</w:t>
      </w:r>
      <w:r>
        <w:t xml:space="preserve">lectrode, respectively. Simultaneously, discrete water samples (120-mL) were collected in duplicate from experimental tanks and preserved with </w:t>
      </w:r>
      <w:proofErr w:type="spellStart"/>
      <w:r>
        <w:t>HgCl</w:t>
      </w:r>
      <w:proofErr w:type="spellEnd"/>
      <w:r>
        <w:t xml:space="preserve"> (50-µL) for later total alkalinity measurements using a titrator</w:t>
      </w:r>
      <w:r w:rsidR="00DD380E">
        <w:t xml:space="preserve">. </w:t>
      </w:r>
      <w:r>
        <w:t>Standard pH curves were generated on each sampling day prior to pH measurements using TRIS buffer prepared in-house at five temperatures (</w:t>
      </w:r>
      <w:r w:rsidR="00465901">
        <w:t>Appendix S</w:t>
      </w:r>
      <w:r w:rsidR="006E33D0">
        <w:t>1</w:t>
      </w:r>
      <w:r w:rsidR="00465901">
        <w:t xml:space="preserve">: </w:t>
      </w:r>
      <w:r w:rsidR="006E33D0">
        <w:t>Section S</w:t>
      </w:r>
      <w:r w:rsidR="00465901">
        <w:t>1</w:t>
      </w:r>
      <w:r>
        <w:t xml:space="preserve">). Using the </w:t>
      </w:r>
      <w:proofErr w:type="spellStart"/>
      <w:r>
        <w:rPr>
          <w:rFonts w:ascii="Courier New" w:eastAsia="Courier New" w:hAnsi="Courier New" w:cs="Courier New"/>
        </w:rPr>
        <w:t>seacarb</w:t>
      </w:r>
      <w:proofErr w:type="spellEnd"/>
      <w:r>
        <w:t xml:space="preserve"> library in R, pCO</w:t>
      </w:r>
      <w:r>
        <w:rPr>
          <w:vertAlign w:val="subscript"/>
        </w:rPr>
        <w:t>2</w:t>
      </w:r>
      <w:r>
        <w:t>, dissolved organic carbon (DIC), calcite saturation (</w:t>
      </w:r>
      <w:proofErr w:type="spellStart"/>
      <w:r>
        <w:t>Ω</w:t>
      </w:r>
      <w:r>
        <w:rPr>
          <w:vertAlign w:val="subscript"/>
        </w:rPr>
        <w:t>calcite</w:t>
      </w:r>
      <w:proofErr w:type="spellEnd"/>
      <w:r>
        <w:t>), and aragonite saturation (</w:t>
      </w:r>
      <w:proofErr w:type="spellStart"/>
      <w:r>
        <w:t>Ω</w:t>
      </w:r>
      <w:r>
        <w:rPr>
          <w:vertAlign w:val="subscript"/>
        </w:rPr>
        <w:t>aragonite</w:t>
      </w:r>
      <w:proofErr w:type="spellEnd"/>
      <w:r>
        <w:t>) were calculated for days 5, 33, and 48 (</w:t>
      </w:r>
      <w:r w:rsidR="006E33D0">
        <w:t>Appendix S1: Table S1</w:t>
      </w:r>
      <w:r>
        <w:t>).</w:t>
      </w:r>
    </w:p>
    <w:p w14:paraId="15938104" w14:textId="6C139973" w:rsidR="00D64A77" w:rsidRPr="00DD380E" w:rsidRDefault="001554ED" w:rsidP="00DD380E">
      <w:pPr>
        <w:spacing w:line="480" w:lineRule="auto"/>
        <w:ind w:firstLine="720"/>
      </w:pPr>
      <w:r>
        <w:t>During both temperature and pCO</w:t>
      </w:r>
      <w:r>
        <w:rPr>
          <w:vertAlign w:val="subscript"/>
        </w:rPr>
        <w:t>2</w:t>
      </w:r>
      <w:r>
        <w:t xml:space="preserve"> treatments, all oysters were fed from a shared algae header tank daily with Shellfish Diet 1800® (300-500-mL, Reed </w:t>
      </w:r>
      <w:proofErr w:type="spellStart"/>
      <w:r>
        <w:t>Mariculture</w:t>
      </w:r>
      <w:proofErr w:type="spellEnd"/>
      <w:r>
        <w:t>) diluted in ambient pCO</w:t>
      </w:r>
      <w:r>
        <w:rPr>
          <w:vertAlign w:val="subscript"/>
        </w:rPr>
        <w:t>2</w:t>
      </w:r>
      <w:r>
        <w:t xml:space="preserve"> seawater (200-L, </w:t>
      </w:r>
      <w:hyperlink r:id="rId91">
        <w:r>
          <w:rPr>
            <w:color w:val="000000"/>
          </w:rPr>
          <w:t>Helm &amp; Bourne, 2004</w:t>
        </w:r>
      </w:hyperlink>
      <w:r>
        <w:t xml:space="preserve">), dosed continuously with </w:t>
      </w:r>
      <w:r w:rsidR="00DD380E">
        <w:t>metering pumps</w:t>
      </w:r>
      <w:r>
        <w:t xml:space="preserve">. </w:t>
      </w:r>
      <w:r w:rsidR="0001445B">
        <w:t>E</w:t>
      </w:r>
      <w:r>
        <w:t xml:space="preserve">xperimental, reservoir, and algae tanks were drained and cleaned, and oysters were monitored for mortality and rotated within </w:t>
      </w:r>
      <w:r w:rsidR="00D676B4">
        <w:t xml:space="preserve">the </w:t>
      </w:r>
      <w:r>
        <w:t>experimental system</w:t>
      </w:r>
      <w:r w:rsidR="0001445B">
        <w:t xml:space="preserve"> twice weekly</w:t>
      </w:r>
      <w:r>
        <w:t xml:space="preserve">. </w:t>
      </w:r>
    </w:p>
    <w:p w14:paraId="24D520FC" w14:textId="77777777" w:rsidR="00D676B4" w:rsidRDefault="00D676B4" w:rsidP="00C56A3D">
      <w:pPr>
        <w:spacing w:line="480" w:lineRule="auto"/>
        <w:rPr>
          <w:b/>
        </w:rPr>
      </w:pPr>
    </w:p>
    <w:p w14:paraId="56C9419B" w14:textId="596C2505" w:rsidR="00D64A77" w:rsidRDefault="001554ED" w:rsidP="00C56A3D">
      <w:pPr>
        <w:spacing w:line="480" w:lineRule="auto"/>
        <w:rPr>
          <w:b/>
        </w:rPr>
      </w:pPr>
      <w:r>
        <w:rPr>
          <w:b/>
        </w:rPr>
        <w:t>Adult reproductive development</w:t>
      </w:r>
    </w:p>
    <w:p w14:paraId="01E6B845" w14:textId="6A224014" w:rsidR="00D64A77" w:rsidRDefault="00940497" w:rsidP="00C56A3D">
      <w:pPr>
        <w:spacing w:line="480" w:lineRule="auto"/>
      </w:pPr>
      <w:r>
        <w:t xml:space="preserve">A subset of oysters </w:t>
      </w:r>
      <w:r w:rsidR="00242447">
        <w:t>was</w:t>
      </w:r>
      <w:r>
        <w:t xml:space="preserve"> sampled for gamete stage and dominant sex immediately before and after pCO</w:t>
      </w:r>
      <w:r>
        <w:rPr>
          <w:vertAlign w:val="subscript"/>
        </w:rPr>
        <w:t>2</w:t>
      </w:r>
      <w:r>
        <w:t xml:space="preserve"> treatments (Figure 2) to capture developmental differences among treatments. </w:t>
      </w:r>
      <w:r w:rsidR="00A4575E">
        <w:t xml:space="preserve">Puget Sound </w:t>
      </w:r>
      <w:r w:rsidR="00A4575E" w:rsidRPr="00C41595">
        <w:rPr>
          <w:i/>
        </w:rPr>
        <w:t xml:space="preserve">O. </w:t>
      </w:r>
      <w:proofErr w:type="spellStart"/>
      <w:r w:rsidR="00A4575E" w:rsidRPr="00C41595">
        <w:rPr>
          <w:i/>
        </w:rPr>
        <w:t>lurida</w:t>
      </w:r>
      <w:proofErr w:type="spellEnd"/>
      <w:r w:rsidR="00A4575E">
        <w:t xml:space="preserve"> reportedly enter reproductive quiescence and resorb residual gametes when temperatures are below 12.5°C</w:t>
      </w:r>
      <w:r>
        <w:t xml:space="preserve"> (</w:t>
      </w:r>
      <w:r w:rsidR="000371AF">
        <w:t>Hopkins 1936, 1937</w:t>
      </w:r>
      <w:r>
        <w:t>)</w:t>
      </w:r>
      <w:r w:rsidR="00A4575E">
        <w:t>, however recent evidence of low-temperature brooding</w:t>
      </w:r>
      <w:r w:rsidR="00242447">
        <w:t xml:space="preserve"> in Puget Sound</w:t>
      </w:r>
      <w:r w:rsidR="00A4575E">
        <w:t xml:space="preserve"> (10.5°C, Barber </w:t>
      </w:r>
      <w:r w:rsidR="00A4575E" w:rsidRPr="001107F5">
        <w:rPr>
          <w:i/>
        </w:rPr>
        <w:t>et al</w:t>
      </w:r>
      <w:r w:rsidR="00A4575E">
        <w:t>. 2016) suggests that reproductive activity may occur during warm winters. Therefore, g</w:t>
      </w:r>
      <w:r w:rsidR="009462E5">
        <w:t>onad tissue was sampled to</w:t>
      </w:r>
      <w:r w:rsidR="00A4575E">
        <w:t xml:space="preserve"> </w:t>
      </w:r>
      <w:r w:rsidR="009462E5">
        <w:t xml:space="preserve">estimate </w:t>
      </w:r>
      <w:r w:rsidR="00D676B4">
        <w:t xml:space="preserve">the following: 1) </w:t>
      </w:r>
      <w:r w:rsidR="009462E5">
        <w:t xml:space="preserve">whether </w:t>
      </w:r>
      <w:r w:rsidR="00AF238D">
        <w:t>residual gametes were resorbed</w:t>
      </w:r>
      <w:r w:rsidR="000371AF">
        <w:t xml:space="preserve"> or developed during winter treatments</w:t>
      </w:r>
      <w:r w:rsidR="00D676B4">
        <w:t xml:space="preserve">; 2) </w:t>
      </w:r>
      <w:r w:rsidR="00445381">
        <w:t>whether temperature and pCO</w:t>
      </w:r>
      <w:r w:rsidR="00445381" w:rsidRPr="00445381">
        <w:rPr>
          <w:vertAlign w:val="subscript"/>
        </w:rPr>
        <w:t>2</w:t>
      </w:r>
      <w:r w:rsidR="00445381">
        <w:t xml:space="preserve"> influenced winter activity</w:t>
      </w:r>
      <w:r w:rsidR="00D676B4">
        <w:t>; 3)</w:t>
      </w:r>
      <w:r w:rsidR="000371AF">
        <w:t xml:space="preserve"> </w:t>
      </w:r>
      <w:r w:rsidR="009462E5">
        <w:t>if male and female gametes responded similarly</w:t>
      </w:r>
      <w:r w:rsidR="00D676B4">
        <w:t xml:space="preserve">; </w:t>
      </w:r>
      <w:r>
        <w:t>and</w:t>
      </w:r>
      <w:r w:rsidR="00D676B4">
        <w:t xml:space="preserve"> 4)</w:t>
      </w:r>
      <w:r>
        <w:t xml:space="preserve"> if </w:t>
      </w:r>
      <w:r w:rsidR="00D676B4">
        <w:t>gonad responses</w:t>
      </w:r>
      <w:r>
        <w:t xml:space="preserve"> correspond with fecundity</w:t>
      </w:r>
      <w:r w:rsidR="001554ED">
        <w:t>. Prior to pCO</w:t>
      </w:r>
      <w:r w:rsidR="001554ED">
        <w:rPr>
          <w:vertAlign w:val="subscript"/>
        </w:rPr>
        <w:t>2</w:t>
      </w:r>
      <w:r w:rsidR="001554ED">
        <w:t xml:space="preserve"> exposure, 15 oysters were sampled from O-1, O-2, and F cohorts, and 9 from </w:t>
      </w:r>
      <w:r w:rsidR="00D676B4">
        <w:t xml:space="preserve">the </w:t>
      </w:r>
      <w:r w:rsidR="001554ED">
        <w:t xml:space="preserve">D cohort. </w:t>
      </w:r>
      <w:r w:rsidR="009741C9">
        <w:t>After</w:t>
      </w:r>
      <w:r w:rsidR="001554ED">
        <w:t xml:space="preserve"> pCO</w:t>
      </w:r>
      <w:r w:rsidR="001554ED">
        <w:rPr>
          <w:vertAlign w:val="subscript"/>
        </w:rPr>
        <w:t>2</w:t>
      </w:r>
      <w:r w:rsidR="001554ED">
        <w:t xml:space="preserve"> exposure, 9, 6, and 15 oysters were sampled from each treatment for O-1/F, D, and O-2 cohorts, respectively (distributed equally among replicates tanks). Whole visceral mass was excised and preserved in histology cassettes using the </w:t>
      </w:r>
      <w:proofErr w:type="spellStart"/>
      <w:r w:rsidR="001554ED">
        <w:t>PAXgene</w:t>
      </w:r>
      <w:proofErr w:type="spellEnd"/>
      <w:r w:rsidR="001554ED">
        <w:t xml:space="preserve"> Tissue FIX System, </w:t>
      </w:r>
      <w:r w:rsidR="009741C9">
        <w:t>then</w:t>
      </w:r>
      <w:r w:rsidR="001554ED">
        <w:t xml:space="preserve"> processed for gonad analysis by Diagnostic Pathology Medical Group, Inc. (Sacramento, CA). </w:t>
      </w:r>
    </w:p>
    <w:p w14:paraId="0B37E432" w14:textId="438E5202" w:rsidR="00D64A77" w:rsidRDefault="001554ED" w:rsidP="00C56A3D">
      <w:pPr>
        <w:spacing w:line="480" w:lineRule="auto"/>
        <w:ind w:firstLine="720"/>
      </w:pPr>
      <w:r>
        <w:t xml:space="preserve">Adult gonad samples were assigned sex and stage using designations adapted from </w:t>
      </w:r>
      <w:hyperlink r:id="rId92">
        <w:r>
          <w:rPr>
            <w:color w:val="000000"/>
          </w:rPr>
          <w:t xml:space="preserve">(da Silva, Fuentes, &amp; </w:t>
        </w:r>
        <w:proofErr w:type="spellStart"/>
        <w:r>
          <w:rPr>
            <w:color w:val="000000"/>
          </w:rPr>
          <w:t>Villalba</w:t>
        </w:r>
        <w:proofErr w:type="spellEnd"/>
        <w:r>
          <w:rPr>
            <w:color w:val="000000"/>
          </w:rPr>
          <w:t>, 2009)</w:t>
        </w:r>
      </w:hyperlink>
      <w:r w:rsidR="00EC0491">
        <w:rPr>
          <w:color w:val="000000"/>
        </w:rPr>
        <w:t xml:space="preserve"> (Appendix S1: Tables S2 &amp; S3)</w:t>
      </w:r>
      <w:r w:rsidR="00EC6DF5">
        <w:t xml:space="preserve">. </w:t>
      </w:r>
      <w:r>
        <w:t>Sex was assigned as indeterminate (I), male (M), hermaphroditic primarily-male (HPM), hermaphroditic (H), hermaphroditic primarily-female (HPF), and female (F). Gonad sex was collapsed into simplified male and female designations for statistical analyses (</w:t>
      </w:r>
      <w:r w:rsidR="009741C9">
        <w:t>h</w:t>
      </w:r>
      <w:r>
        <w:t xml:space="preserve">ermaphroditic-primarily male = </w:t>
      </w:r>
      <w:r w:rsidR="009741C9">
        <w:t>m</w:t>
      </w:r>
      <w:r>
        <w:t xml:space="preserve">ale, </w:t>
      </w:r>
      <w:r w:rsidR="009741C9">
        <w:t>h</w:t>
      </w:r>
      <w:r>
        <w:t xml:space="preserve">ermaphroditic-primarily female = </w:t>
      </w:r>
      <w:r w:rsidR="009741C9">
        <w:t>f</w:t>
      </w:r>
      <w:r>
        <w:t xml:space="preserve">emale). For stage assignment, male and female gametes were assigned separately due to the high frequency of hermaphroditism (50.8%). Dominant </w:t>
      </w:r>
      <w:r>
        <w:lastRenderedPageBreak/>
        <w:t>gonad stage was then assigned based on the sex assignment. The da Silva gonad stages were applied for early gametogenesis (stage 1), advanced (stage 2), and ripe (stage 3). Departures from da Silva’s stage 0, stage 4 (partially spawned), and stage 5 (fully spawned/resorbing) were as follows: stage 0 in this study represent</w:t>
      </w:r>
      <w:r w:rsidR="00B613EC">
        <w:t>s</w:t>
      </w:r>
      <w:r>
        <w:t xml:space="preserve"> empty follicles, or no presence of male or female gonad tissue</w:t>
      </w:r>
      <w:r w:rsidR="00A50F2C">
        <w:t>; s</w:t>
      </w:r>
      <w:r>
        <w:t>tage 4 represent</w:t>
      </w:r>
      <w:r w:rsidR="006F55C1">
        <w:t>s</w:t>
      </w:r>
      <w:r>
        <w:t xml:space="preserve"> both spawned and resorbing gonad</w:t>
      </w:r>
      <w:r w:rsidR="00A50F2C">
        <w:t>;</w:t>
      </w:r>
      <w:r>
        <w:t xml:space="preserve"> </w:t>
      </w:r>
      <w:r w:rsidR="00A50F2C">
        <w:t>t</w:t>
      </w:r>
      <w:r>
        <w:t>his method did not include a separate stage 5, due to the very high frequency of residual gametes, and no distinct partially spawned oysters (</w:t>
      </w:r>
      <w:r w:rsidR="00EC0491">
        <w:t>for gonad images see</w:t>
      </w:r>
      <w:r w:rsidR="00EC6DF5">
        <w:t xml:space="preserve"> Appendix S1: Fig. S2</w:t>
      </w:r>
      <w:r w:rsidR="00EC0491">
        <w:t xml:space="preserve"> </w:t>
      </w:r>
      <w:r w:rsidR="00EC6DF5">
        <w:t xml:space="preserve">and </w:t>
      </w:r>
      <w:r w:rsidR="00B613EC">
        <w:t xml:space="preserve">Spencer </w:t>
      </w:r>
      <w:r w:rsidR="00B613EC" w:rsidRPr="00B613EC">
        <w:rPr>
          <w:i/>
        </w:rPr>
        <w:t>et al.</w:t>
      </w:r>
      <w:r w:rsidR="00B613EC">
        <w:t xml:space="preserve"> 2019</w:t>
      </w:r>
      <w:r>
        <w:t>).</w:t>
      </w:r>
    </w:p>
    <w:p w14:paraId="7A39FD52" w14:textId="77777777" w:rsidR="00D64A77" w:rsidRDefault="001554ED" w:rsidP="00C56A3D">
      <w:pPr>
        <w:spacing w:line="480" w:lineRule="auto"/>
        <w:ind w:firstLine="720"/>
      </w:pPr>
      <w:r>
        <w:t>Treatment effects on gonad tissue were assessed for all cohorts combined in 4 gonad metrics: 1) gonad stage of dominant sex, 2) male gonad tissue when present, 3) female gonad tissue when present, and 4) gonad sex-collapsed (Chi-square test of independence). To assess the effects of elevated winter temperature alone, gonad metrics were compared between 6°C and 10°C treatments prior to pCO</w:t>
      </w:r>
      <w:r>
        <w:rPr>
          <w:vertAlign w:val="subscript"/>
        </w:rPr>
        <w:t>2</w:t>
      </w:r>
      <w:r>
        <w:t xml:space="preserve"> treatment. To determine the effect of pCO</w:t>
      </w:r>
      <w:r>
        <w:rPr>
          <w:vertAlign w:val="subscript"/>
        </w:rPr>
        <w:t>2</w:t>
      </w:r>
      <w:r>
        <w:t xml:space="preserve"> exposure, gonad metrics were compared between ambient and high pCO</w:t>
      </w:r>
      <w:r>
        <w:rPr>
          <w:vertAlign w:val="subscript"/>
        </w:rPr>
        <w:t>2</w:t>
      </w:r>
      <w:r>
        <w:t xml:space="preserve"> after 52 days in pCO</w:t>
      </w:r>
      <w:r>
        <w:rPr>
          <w:vertAlign w:val="subscript"/>
        </w:rPr>
        <w:t>2</w:t>
      </w:r>
      <w:r>
        <w:t xml:space="preserve"> treatments, including temperature interaction effects. To estimate whether gonad changed during pCO</w:t>
      </w:r>
      <w:r>
        <w:rPr>
          <w:vertAlign w:val="subscript"/>
        </w:rPr>
        <w:t>2</w:t>
      </w:r>
      <w:r>
        <w:t xml:space="preserve"> treatment, metrics were compared before and after ambient and high pCO</w:t>
      </w:r>
      <w:r>
        <w:rPr>
          <w:vertAlign w:val="subscript"/>
        </w:rPr>
        <w:t>2</w:t>
      </w:r>
      <w:r>
        <w:t xml:space="preserve"> treatments, including temperature interaction effects. P-values were estimated using Monte-Carlo simulations with 1,000 permutations, and corrected using the </w:t>
      </w:r>
      <w:proofErr w:type="spellStart"/>
      <w:r>
        <w:t>Benjamini</w:t>
      </w:r>
      <w:proofErr w:type="spellEnd"/>
      <w:r>
        <w:t xml:space="preserve"> &amp; Hoch</w:t>
      </w:r>
      <w:r w:rsidRPr="00242447">
        <w:t>berg method and 𝛼=0.05</w:t>
      </w:r>
      <w:r>
        <w:t xml:space="preserve"> </w:t>
      </w:r>
      <w:hyperlink r:id="rId93">
        <w:r>
          <w:rPr>
            <w:color w:val="000000"/>
          </w:rPr>
          <w:t>(</w:t>
        </w:r>
        <w:proofErr w:type="spellStart"/>
        <w:r>
          <w:rPr>
            <w:color w:val="000000"/>
          </w:rPr>
          <w:t>Benjamini</w:t>
        </w:r>
        <w:proofErr w:type="spellEnd"/>
        <w:r>
          <w:rPr>
            <w:color w:val="000000"/>
          </w:rPr>
          <w:t xml:space="preserve"> &amp; Hochberg, 1995)</w:t>
        </w:r>
      </w:hyperlink>
      <w:r>
        <w:t xml:space="preserve">. </w:t>
      </w:r>
    </w:p>
    <w:p w14:paraId="6D07B161" w14:textId="77777777" w:rsidR="00620AFD" w:rsidRDefault="00620AFD" w:rsidP="00C56A3D">
      <w:pPr>
        <w:spacing w:line="480" w:lineRule="auto"/>
        <w:rPr>
          <w:b/>
        </w:rPr>
      </w:pPr>
    </w:p>
    <w:p w14:paraId="3FD34136" w14:textId="60245618" w:rsidR="00D64A77" w:rsidRDefault="001554ED" w:rsidP="00C56A3D">
      <w:pPr>
        <w:spacing w:line="480" w:lineRule="auto"/>
        <w:rPr>
          <w:b/>
        </w:rPr>
      </w:pPr>
      <w:r>
        <w:rPr>
          <w:b/>
        </w:rPr>
        <w:t>Larval production</w:t>
      </w:r>
    </w:p>
    <w:p w14:paraId="26798C49" w14:textId="1F402288" w:rsidR="00D64A77" w:rsidRDefault="001554ED" w:rsidP="009A63E7">
      <w:pPr>
        <w:spacing w:line="480" w:lineRule="auto"/>
      </w:pPr>
      <w:r>
        <w:t>Following pCO</w:t>
      </w:r>
      <w:r>
        <w:rPr>
          <w:vertAlign w:val="subscript"/>
        </w:rPr>
        <w:t>2</w:t>
      </w:r>
      <w:r>
        <w:t xml:space="preserve"> exposure, adult oysters were spawned to assess </w:t>
      </w:r>
      <w:r w:rsidR="0074706E">
        <w:t xml:space="preserve">impacts of winter treatment on </w:t>
      </w:r>
      <w:r>
        <w:t>larval production timing and magnitude. Beginning on April 11</w:t>
      </w:r>
      <w:r w:rsidR="001F5BDB">
        <w:t>, 2017</w:t>
      </w:r>
      <w:r>
        <w:t xml:space="preserve"> (Figure 2), oysters were reproductively conditioned by raising temperatures gradually (~1°C/day) to 18.1 ± 0.1°C and fed </w:t>
      </w:r>
      <w:r>
        <w:lastRenderedPageBreak/>
        <w:t>live algae cocktail at 66,000 ± 12,000 cells/</w:t>
      </w:r>
      <w:proofErr w:type="spellStart"/>
      <w:r>
        <w:t>mL.</w:t>
      </w:r>
      <w:proofErr w:type="spellEnd"/>
      <w:r>
        <w:t xml:space="preserve"> Oysters spawn</w:t>
      </w:r>
      <w:r w:rsidR="001F4CCA">
        <w:t>ed</w:t>
      </w:r>
      <w:r>
        <w:t xml:space="preserve"> </w:t>
      </w:r>
      <w:r w:rsidR="001F4CCA">
        <w:t>in the hatchery for 90 days volitionally, i.e. naturally releasing gametes without chemical or physical manipulation</w:t>
      </w:r>
      <w:r>
        <w:t>. Six spawning tanks were used for each temperature x pCO</w:t>
      </w:r>
      <w:r>
        <w:rPr>
          <w:vertAlign w:val="subscript"/>
        </w:rPr>
        <w:t>2</w:t>
      </w:r>
      <w:r>
        <w:t xml:space="preserve"> treatment: 6°C-high pCO</w:t>
      </w:r>
      <w:r>
        <w:rPr>
          <w:vertAlign w:val="subscript"/>
        </w:rPr>
        <w:t>2</w:t>
      </w:r>
      <w:r>
        <w:t>, 6°C-ambient pCO</w:t>
      </w:r>
      <w:r>
        <w:rPr>
          <w:vertAlign w:val="subscript"/>
        </w:rPr>
        <w:t>2</w:t>
      </w:r>
      <w:r>
        <w:t>, 10°C-high pCO</w:t>
      </w:r>
      <w:r>
        <w:rPr>
          <w:vertAlign w:val="subscript"/>
        </w:rPr>
        <w:t>2</w:t>
      </w:r>
      <w:r>
        <w:t>, and 10°C-ambient pCO</w:t>
      </w:r>
      <w:r>
        <w:rPr>
          <w:vertAlign w:val="subscript"/>
        </w:rPr>
        <w:t>2</w:t>
      </w:r>
      <w:r>
        <w:t>. Within the six tanks per treatment, two spawning tanks contained the F cohort (14-17 oysters), two tanks the O-1 cohort (14-17 oysters), one tank the D cohort (9-16 oysters), and one tank the O-2 cohort (111-126 oysters</w:t>
      </w:r>
      <w:r w:rsidR="0074706E">
        <w:t>)</w:t>
      </w:r>
      <w:r>
        <w:t xml:space="preserve">. More O-2 oysters were used due to their small size. Olympia oysters </w:t>
      </w:r>
      <w:r w:rsidR="001F4CCA">
        <w:t xml:space="preserve">release </w:t>
      </w:r>
      <w:proofErr w:type="gramStart"/>
      <w:r w:rsidR="001F4CCA">
        <w:t xml:space="preserve">sperm, </w:t>
      </w:r>
      <w:r w:rsidR="000302C9">
        <w:t>but</w:t>
      </w:r>
      <w:proofErr w:type="gramEnd"/>
      <w:r w:rsidR="001F4CCA">
        <w:t xml:space="preserve"> </w:t>
      </w:r>
      <w:r w:rsidR="000302C9">
        <w:t xml:space="preserve">have internal </w:t>
      </w:r>
      <w:r w:rsidR="001F4CCA">
        <w:t xml:space="preserve">fertilization </w:t>
      </w:r>
      <w:r w:rsidR="000302C9">
        <w:t>and release veliger larvae following a ~2 week brooding period</w:t>
      </w:r>
      <w:r w:rsidR="0074706E">
        <w:t xml:space="preserve"> (Coe ,1931; Hopkins, 1937)</w:t>
      </w:r>
      <w:r w:rsidR="000302C9">
        <w:t>. Therefore, production was assessed by collecting veliger</w:t>
      </w:r>
      <w:r w:rsidR="008B5D21">
        <w:t xml:space="preserve"> larvae </w:t>
      </w:r>
      <w:r>
        <w:t xml:space="preserve">upon maternal release. Spawning tank outflow was collected in 7.5-L buckets using 100 µm screens made from 15.25 cm polyvinyl chloride rings and 100 µm nylon mesh. </w:t>
      </w:r>
    </w:p>
    <w:p w14:paraId="19B3287A" w14:textId="7B589E9C" w:rsidR="009A63E7" w:rsidRDefault="001554ED" w:rsidP="009A63E7">
      <w:pPr>
        <w:spacing w:line="480" w:lineRule="auto"/>
        <w:ind w:firstLine="720"/>
      </w:pPr>
      <w:r>
        <w:t>Larval collection was assessed for differences in spawn timing and fecundity. Larvae, first observed on May 11</w:t>
      </w:r>
      <w:r w:rsidR="001F5BDB">
        <w:t>, 2017</w:t>
      </w:r>
      <w:r w:rsidR="009A63E7">
        <w:t xml:space="preserve"> (Figure 2)</w:t>
      </w:r>
      <w:r>
        <w:t xml:space="preserve">, were collected from each spawning tank every one or two days for 60 days. </w:t>
      </w:r>
      <w:r w:rsidR="006C0DCA">
        <w:t>The number of l</w:t>
      </w:r>
      <w:r>
        <w:t>arva</w:t>
      </w:r>
      <w:r w:rsidR="006C0DCA">
        <w:t>e</w:t>
      </w:r>
      <w:r>
        <w:t xml:space="preserve"> release</w:t>
      </w:r>
      <w:r w:rsidR="006C0DCA">
        <w:t>d</w:t>
      </w:r>
      <w:r>
        <w:t xml:space="preserve"> was estimated by counting and averaging triplicate subsamples of larvae homogenized in seawater. The following summary statistics were compared between temperature x pCO</w:t>
      </w:r>
      <w:r>
        <w:rPr>
          <w:vertAlign w:val="subscript"/>
        </w:rPr>
        <w:t>2</w:t>
      </w:r>
      <w:r>
        <w:t xml:space="preserve"> treatments: total larvae released</w:t>
      </w:r>
      <w:r w:rsidR="00D6264A">
        <w:t xml:space="preserve"> across the 90-day period</w:t>
      </w:r>
      <w:r>
        <w:t xml:space="preserve">, </w:t>
      </w:r>
      <w:r w:rsidR="000379C3" w:rsidRPr="000379C3">
        <w:t>average number of larvae collected on a daily basis (excluding days where no larvae were released)</w:t>
      </w:r>
      <w:r w:rsidR="00D97EE5">
        <w:t xml:space="preserve">, </w:t>
      </w:r>
      <w:r>
        <w:t xml:space="preserve">maximum larvae released in one day, date of first release, date of maximum release, and number of substantial release days (greater than 10,000 larvae). The total and daily release values were normalized by the number of </w:t>
      </w:r>
      <w:proofErr w:type="spellStart"/>
      <w:r>
        <w:t>broodstock</w:t>
      </w:r>
      <w:proofErr w:type="spellEnd"/>
      <w:r>
        <w:t xml:space="preserve"> * average </w:t>
      </w:r>
      <w:proofErr w:type="spellStart"/>
      <w:r>
        <w:t>broodstock</w:t>
      </w:r>
      <w:proofErr w:type="spellEnd"/>
      <w:r>
        <w:t xml:space="preserve"> height (cm), which can impact fecundity. Distributions were assessed using </w:t>
      </w:r>
      <w:proofErr w:type="spellStart"/>
      <w:r>
        <w:rPr>
          <w:rFonts w:ascii="Courier New" w:eastAsia="Courier New" w:hAnsi="Courier New" w:cs="Courier New"/>
        </w:rPr>
        <w:t>qqp</w:t>
      </w:r>
      <w:proofErr w:type="spellEnd"/>
      <w:r>
        <w:t xml:space="preserve"> in the </w:t>
      </w:r>
      <w:r>
        <w:rPr>
          <w:rFonts w:ascii="Courier New" w:eastAsia="Courier New" w:hAnsi="Courier New" w:cs="Courier New"/>
        </w:rPr>
        <w:t>car</w:t>
      </w:r>
      <w:r>
        <w:t xml:space="preserve"> package for R </w:t>
      </w:r>
      <w:hyperlink r:id="rId94">
        <w:r>
          <w:rPr>
            <w:color w:val="000000"/>
          </w:rPr>
          <w:t>(Fox &amp; Weisberg, 2011)</w:t>
        </w:r>
      </w:hyperlink>
      <w:r>
        <w:t>, and log-transformed to meet normal distribution assumptions</w:t>
      </w:r>
      <w:r w:rsidR="006C0DCA">
        <w:t>,</w:t>
      </w:r>
      <w:r w:rsidR="0046506E">
        <w:t xml:space="preserve"> if necessary</w:t>
      </w:r>
      <w:r>
        <w:t xml:space="preserve">. Differences between treatments were assessed using linear regression and Three-Way ANOVA </w:t>
      </w:r>
      <w:r>
        <w:lastRenderedPageBreak/>
        <w:t>(cohort was included as a covariate) with backwards deletion to determine the most parsimonious model</w:t>
      </w:r>
      <w:r w:rsidR="009A63E7">
        <w:t>s</w:t>
      </w:r>
      <w:r>
        <w:t xml:space="preserve">. Tukey Honest Significant Differences were obtained using </w:t>
      </w:r>
      <w:proofErr w:type="spellStart"/>
      <w:r>
        <w:rPr>
          <w:rFonts w:ascii="Courier New" w:eastAsia="Courier New" w:hAnsi="Courier New" w:cs="Courier New"/>
        </w:rPr>
        <w:t>TukeyHSD</w:t>
      </w:r>
      <w:proofErr w:type="spellEnd"/>
      <w:r>
        <w:t xml:space="preserve"> to assess pairwise comparisons </w:t>
      </w:r>
      <w:hyperlink r:id="rId95">
        <w:r>
          <w:rPr>
            <w:color w:val="000000"/>
          </w:rPr>
          <w:t>(R Core Team, 2016)</w:t>
        </w:r>
      </w:hyperlink>
      <w:r>
        <w:t>. Dates of peak larval release were also estimated for each pCO</w:t>
      </w:r>
      <w:r>
        <w:rPr>
          <w:vertAlign w:val="subscript"/>
        </w:rPr>
        <w:t>2</w:t>
      </w:r>
      <w:r>
        <w:t xml:space="preserve"> x temperature treatment by smoothing using locally weighted regression, with </w:t>
      </w:r>
      <w:proofErr w:type="spellStart"/>
      <w:r>
        <w:rPr>
          <w:rFonts w:ascii="Courier New" w:eastAsia="Courier New" w:hAnsi="Courier New" w:cs="Courier New"/>
        </w:rPr>
        <w:t>geom_smooth</w:t>
      </w:r>
      <w:proofErr w:type="spellEnd"/>
      <w:r>
        <w:t xml:space="preserve"> in the </w:t>
      </w:r>
      <w:proofErr w:type="spellStart"/>
      <w:r>
        <w:t>ggplot</w:t>
      </w:r>
      <w:proofErr w:type="spellEnd"/>
      <w:r>
        <w:t xml:space="preserve"> package </w:t>
      </w:r>
      <w:hyperlink r:id="rId96">
        <w:r>
          <w:rPr>
            <w:color w:val="000000"/>
          </w:rPr>
          <w:t>(Wickham, 2017)</w:t>
        </w:r>
      </w:hyperlink>
      <w:r>
        <w:t xml:space="preserve">, with span=0.3 and degree=1. </w:t>
      </w:r>
    </w:p>
    <w:p w14:paraId="76028BD7" w14:textId="77777777" w:rsidR="009A63E7" w:rsidRDefault="009A63E7" w:rsidP="009A63E7">
      <w:pPr>
        <w:spacing w:line="480" w:lineRule="auto"/>
      </w:pPr>
    </w:p>
    <w:p w14:paraId="32CA4985" w14:textId="6DC69301" w:rsidR="00D64A77" w:rsidRPr="009A63E7" w:rsidRDefault="001554ED" w:rsidP="009A63E7">
      <w:pPr>
        <w:spacing w:line="480" w:lineRule="auto"/>
      </w:pPr>
      <w:r>
        <w:rPr>
          <w:b/>
        </w:rPr>
        <w:t>Offspring survival in a natural setting</w:t>
      </w:r>
    </w:p>
    <w:p w14:paraId="15732F0A" w14:textId="664BBBB7" w:rsidR="00D64A77" w:rsidRDefault="001554ED" w:rsidP="009A63E7">
      <w:pPr>
        <w:spacing w:line="480" w:lineRule="auto"/>
      </w:pPr>
      <w:r>
        <w:t>To assess potential carryover effects of parental pCO</w:t>
      </w:r>
      <w:r>
        <w:rPr>
          <w:vertAlign w:val="subscript"/>
        </w:rPr>
        <w:t>2</w:t>
      </w:r>
      <w:r>
        <w:t xml:space="preserve"> exposure, offspring from parents in 6ºC-ambient pCO</w:t>
      </w:r>
      <w:r>
        <w:rPr>
          <w:vertAlign w:val="subscript"/>
        </w:rPr>
        <w:t>2</w:t>
      </w:r>
      <w:r>
        <w:t xml:space="preserve"> and 6ºC-high pCO</w:t>
      </w:r>
      <w:r>
        <w:rPr>
          <w:vertAlign w:val="subscript"/>
        </w:rPr>
        <w:t>2</w:t>
      </w:r>
      <w:r>
        <w:t xml:space="preserve"> treatments were reared then deployed in the natural environment. </w:t>
      </w:r>
      <w:r w:rsidR="00ED764C">
        <w:t>To focus on the effect of parental pCO</w:t>
      </w:r>
      <w:r w:rsidR="00ED764C" w:rsidRPr="00ED764C">
        <w:rPr>
          <w:vertAlign w:val="subscript"/>
        </w:rPr>
        <w:t>2</w:t>
      </w:r>
      <w:r w:rsidR="00ED764C">
        <w:t xml:space="preserve"> exposure, only offspring from </w:t>
      </w:r>
      <w:r w:rsidR="00514CC0">
        <w:t xml:space="preserve">6ºC parents were tested </w:t>
      </w:r>
      <w:r w:rsidR="00ED764C">
        <w:t>in the field (Figure 2).</w:t>
      </w:r>
      <w:r w:rsidR="00A30BAF">
        <w:t xml:space="preserve"> </w:t>
      </w:r>
      <w:r>
        <w:t>Larvae were collected between May 19 and June 22, 2017, separated by parental pCO</w:t>
      </w:r>
      <w:r>
        <w:rPr>
          <w:vertAlign w:val="subscript"/>
        </w:rPr>
        <w:t xml:space="preserve">2 </w:t>
      </w:r>
      <w:r>
        <w:t xml:space="preserve">exposure and cohort, and reared in common conditions for </w:t>
      </w:r>
      <w:r w:rsidR="009A63E7">
        <w:t xml:space="preserve">approximately </w:t>
      </w:r>
      <w:r>
        <w:t xml:space="preserve">1 year (Figure 2; for rearing methods see </w:t>
      </w:r>
      <w:r w:rsidR="00EC0491">
        <w:t>Appendix S1: Section S6)</w:t>
      </w:r>
      <w:r>
        <w:t>. On June 12, 2018 the juveniles were placed in four bays in Puget Sound —</w:t>
      </w:r>
      <w:r w:rsidR="0046506E">
        <w:t xml:space="preserve"> </w:t>
      </w:r>
      <w:proofErr w:type="spellStart"/>
      <w:r>
        <w:t>Fidalgo</w:t>
      </w:r>
      <w:proofErr w:type="spellEnd"/>
      <w:r>
        <w:t xml:space="preserve"> Bay, Port Gamble Bay, Skokomish River Delta, and Case Inlet — with two sites per bay, for a total of eight locations (Figure 1). Autonomous sensors collected continuous water quality data at each location for pH, salinity (via conductivity</w:t>
      </w:r>
      <w:r w:rsidR="00A47A3F">
        <w:t>)</w:t>
      </w:r>
      <w:r>
        <w:t>, dissolved oxygen, temperatur</w:t>
      </w:r>
      <w:r w:rsidR="00A47A3F">
        <w:t>e,</w:t>
      </w:r>
      <w:r>
        <w:t xml:space="preserve"> and chlorophyll</w:t>
      </w:r>
      <w:r w:rsidR="00A47A3F">
        <w:t xml:space="preserve">. </w:t>
      </w:r>
      <w:r>
        <w:t xml:space="preserve">For </w:t>
      </w:r>
      <w:r w:rsidR="00A47A3F">
        <w:t xml:space="preserve">the </w:t>
      </w:r>
      <w:r>
        <w:t xml:space="preserve">F/D and O-1/O-2 cohorts, respectively, 30 and 10 oysters were placed at each location. Initial shell height and group weight </w:t>
      </w:r>
      <w:r w:rsidR="009A63E7">
        <w:t xml:space="preserve">were </w:t>
      </w:r>
      <w:r>
        <w:t xml:space="preserve">measured, then oysters were enclosed in mesh </w:t>
      </w:r>
      <w:r w:rsidR="00BC3B99">
        <w:t>pouches</w:t>
      </w:r>
      <w:r>
        <w:t xml:space="preserve"> and affixed inside shellfish bags to exclude predators. At the end of three months, survival, shell height and group weight were measured for live oysters.</w:t>
      </w:r>
    </w:p>
    <w:p w14:paraId="7B98613B" w14:textId="675032C9" w:rsidR="00D64A77" w:rsidRDefault="001554ED" w:rsidP="00C56A3D">
      <w:pPr>
        <w:spacing w:line="480" w:lineRule="auto"/>
        <w:ind w:firstLine="720"/>
      </w:pPr>
      <w:r>
        <w:lastRenderedPageBreak/>
        <w:t>Juvenile oyster survival was compared among bays</w:t>
      </w:r>
      <w:r w:rsidR="00967E57">
        <w:t xml:space="preserve"> </w:t>
      </w:r>
      <w:r>
        <w:t>and parental pCO</w:t>
      </w:r>
      <w:r>
        <w:rPr>
          <w:vertAlign w:val="subscript"/>
        </w:rPr>
        <w:t>2</w:t>
      </w:r>
      <w:r>
        <w:t xml:space="preserve"> exposure with a binomial generalized linear mixed model (</w:t>
      </w:r>
      <w:proofErr w:type="spellStart"/>
      <w:r>
        <w:t>glmm</w:t>
      </w:r>
      <w:proofErr w:type="spellEnd"/>
      <w:r>
        <w:t xml:space="preserve">) using </w:t>
      </w:r>
      <w:proofErr w:type="spellStart"/>
      <w:r>
        <w:rPr>
          <w:rFonts w:ascii="Courier New" w:eastAsia="Courier New" w:hAnsi="Courier New" w:cs="Courier New"/>
        </w:rPr>
        <w:t>glmer</w:t>
      </w:r>
      <w:proofErr w:type="spellEnd"/>
      <w:r>
        <w:t xml:space="preserve"> from the </w:t>
      </w:r>
      <w:r w:rsidRPr="0085655B">
        <w:rPr>
          <w:rFonts w:ascii="Courier New" w:hAnsi="Courier New" w:cs="Courier New"/>
        </w:rPr>
        <w:t>lme4</w:t>
      </w:r>
      <w:r>
        <w:t xml:space="preserve"> package (vs. 1.1-19). Chi-square tests compared survival differences among factors using the </w:t>
      </w:r>
      <w:r w:rsidRPr="0085655B">
        <w:rPr>
          <w:rFonts w:ascii="Courier New" w:hAnsi="Courier New" w:cs="Courier New"/>
        </w:rPr>
        <w:t>car</w:t>
      </w:r>
      <w:r>
        <w:t xml:space="preserve"> package </w:t>
      </w:r>
      <w:proofErr w:type="spellStart"/>
      <w:r>
        <w:rPr>
          <w:rFonts w:ascii="Courier New" w:eastAsia="Courier New" w:hAnsi="Courier New" w:cs="Courier New"/>
        </w:rPr>
        <w:t>Anova</w:t>
      </w:r>
      <w:proofErr w:type="spellEnd"/>
      <w:r>
        <w:t xml:space="preserve"> function </w:t>
      </w:r>
      <w:hyperlink r:id="rId97">
        <w:r>
          <w:rPr>
            <w:color w:val="000000"/>
          </w:rPr>
          <w:t>(Fox &amp; Weisberg, 2011)</w:t>
        </w:r>
      </w:hyperlink>
      <w:r>
        <w:t>. Mean shell growth was determined by subtracting pre-deployment mean height from post-deployment mean height (not including dead oysters)</w:t>
      </w:r>
      <w:r w:rsidR="00FE7CD0">
        <w:t>. Both mean shell growth and mass change were</w:t>
      </w:r>
      <w:r>
        <w:t xml:space="preserve"> compared among factors using ANOVA and F-statistics to test differences by bay</w:t>
      </w:r>
      <w:r w:rsidR="00E808F8">
        <w:t>,</w:t>
      </w:r>
      <w:r>
        <w:t xml:space="preserve"> parental pCO</w:t>
      </w:r>
      <w:r>
        <w:rPr>
          <w:vertAlign w:val="subscript"/>
        </w:rPr>
        <w:t>2</w:t>
      </w:r>
      <w:r w:rsidR="00E808F8">
        <w:t>, and cohort.</w:t>
      </w:r>
      <w:r>
        <w:t xml:space="preserve"> </w:t>
      </w:r>
    </w:p>
    <w:p w14:paraId="61216696" w14:textId="77777777" w:rsidR="004408CC" w:rsidRDefault="004408CC" w:rsidP="004408CC">
      <w:pPr>
        <w:spacing w:line="480" w:lineRule="auto"/>
      </w:pPr>
    </w:p>
    <w:p w14:paraId="2977B267" w14:textId="74756090" w:rsidR="00C56A3D" w:rsidRDefault="00264ABE" w:rsidP="00620AFD">
      <w:pPr>
        <w:spacing w:line="480" w:lineRule="auto"/>
        <w:contextualSpacing/>
      </w:pPr>
      <w:r>
        <w:t xml:space="preserve">Make and model </w:t>
      </w:r>
      <w:r w:rsidR="004408CC">
        <w:t>details</w:t>
      </w:r>
      <w:r>
        <w:t xml:space="preserve"> for instruments used during treatments and field deployments </w:t>
      </w:r>
      <w:r w:rsidR="004408CC">
        <w:t>are</w:t>
      </w:r>
      <w:r>
        <w:t xml:space="preserve"> available in the </w:t>
      </w:r>
      <w:r w:rsidR="00EC0491">
        <w:t>Appendix S1: Section S2</w:t>
      </w:r>
      <w:r>
        <w:t xml:space="preserve">. </w:t>
      </w:r>
      <w:r w:rsidR="001554ED">
        <w:t xml:space="preserve">All data analysis was performed in R version 3.3.1 using </w:t>
      </w:r>
      <w:r w:rsidR="00453658">
        <w:t xml:space="preserve">the </w:t>
      </w:r>
      <w:proofErr w:type="spellStart"/>
      <w:r w:rsidR="001554ED">
        <w:t>RStudio</w:t>
      </w:r>
      <w:proofErr w:type="spellEnd"/>
      <w:r w:rsidR="001554ED">
        <w:t xml:space="preserve"> interface </w:t>
      </w:r>
      <w:hyperlink r:id="rId98">
        <w:r w:rsidR="001554ED">
          <w:rPr>
            <w:color w:val="000000"/>
          </w:rPr>
          <w:t>(R Core Team, 2016)</w:t>
        </w:r>
      </w:hyperlink>
      <w:r w:rsidR="001554ED">
        <w:t xml:space="preserve">. </w:t>
      </w:r>
      <w:r w:rsidR="00E26164">
        <w:t xml:space="preserve">Data, gonad histology images, and </w:t>
      </w:r>
      <w:r w:rsidR="00986591">
        <w:t xml:space="preserve">R </w:t>
      </w:r>
      <w:r w:rsidR="00E26164">
        <w:t>c</w:t>
      </w:r>
      <w:r w:rsidR="001554ED">
        <w:t xml:space="preserve">ode </w:t>
      </w:r>
      <w:r w:rsidR="00E26164">
        <w:t xml:space="preserve">are available on </w:t>
      </w:r>
      <w:proofErr w:type="spellStart"/>
      <w:r w:rsidR="00E26164">
        <w:t>Figshare</w:t>
      </w:r>
      <w:proofErr w:type="spellEnd"/>
      <w:r w:rsidR="001554ED">
        <w:t xml:space="preserve"> (Spencer </w:t>
      </w:r>
      <w:r w:rsidR="001554ED" w:rsidRPr="00967E57">
        <w:rPr>
          <w:i/>
        </w:rPr>
        <w:t>et al</w:t>
      </w:r>
      <w:r w:rsidR="00967E57">
        <w:rPr>
          <w:i/>
        </w:rPr>
        <w:t>.,</w:t>
      </w:r>
      <w:r w:rsidR="001554ED">
        <w:t xml:space="preserve"> 2019). </w:t>
      </w:r>
    </w:p>
    <w:p w14:paraId="713AF588" w14:textId="77777777" w:rsidR="002B18E0" w:rsidRPr="002B18E0" w:rsidRDefault="002B18E0" w:rsidP="00620AFD">
      <w:pPr>
        <w:spacing w:line="480" w:lineRule="auto"/>
        <w:ind w:firstLine="720"/>
        <w:contextualSpacing/>
      </w:pPr>
    </w:p>
    <w:p w14:paraId="376148A2" w14:textId="77777777" w:rsidR="00620AFD" w:rsidRDefault="001554ED" w:rsidP="00620AFD">
      <w:pPr>
        <w:spacing w:line="480" w:lineRule="auto"/>
        <w:contextualSpacing/>
        <w:rPr>
          <w:b/>
        </w:rPr>
      </w:pPr>
      <w:r>
        <w:rPr>
          <w:b/>
          <w:sz w:val="36"/>
          <w:szCs w:val="36"/>
        </w:rPr>
        <w:t>Results</w:t>
      </w:r>
    </w:p>
    <w:p w14:paraId="57811265" w14:textId="6339B1A7" w:rsidR="00D64A77" w:rsidRPr="00620AFD" w:rsidRDefault="001554ED" w:rsidP="00C56A3D">
      <w:pPr>
        <w:spacing w:line="480" w:lineRule="auto"/>
        <w:rPr>
          <w:b/>
        </w:rPr>
      </w:pPr>
      <w:r>
        <w:rPr>
          <w:b/>
        </w:rPr>
        <w:t>Adult reproductive development</w:t>
      </w:r>
    </w:p>
    <w:p w14:paraId="0DAB97D8" w14:textId="5C8F874A" w:rsidR="00D64A77" w:rsidRDefault="001554ED" w:rsidP="007431E1">
      <w:pPr>
        <w:spacing w:line="480" w:lineRule="auto"/>
      </w:pPr>
      <w:r>
        <w:t xml:space="preserve">After 60 days in </w:t>
      </w:r>
      <w:r w:rsidR="00273549">
        <w:t>temperature treatments (</w:t>
      </w:r>
      <w:r>
        <w:t>6.1±0.2°C and 10.2±0.5°C</w:t>
      </w:r>
      <w:r w:rsidR="00273549">
        <w:t>)</w:t>
      </w:r>
      <w:r>
        <w:t>, gonad stage of the dominant sex differed significantly between temperatures (Table 2). The 10°C oysters had more instances of advanced gametogenesis (stage 2), and fewer</w:t>
      </w:r>
      <w:r w:rsidR="003E65EA">
        <w:t xml:space="preserve"> that were</w:t>
      </w:r>
      <w:r>
        <w:t xml:space="preserve"> resorbing/spawned (stage 4) (Figure </w:t>
      </w:r>
      <w:r w:rsidR="004F36BA">
        <w:t>3</w:t>
      </w:r>
      <w:r>
        <w:t>). This difference was influenced strongly by more advanced male gametes in 10ºC oysters, but there were no differences in female gamete stages. No differences in sex</w:t>
      </w:r>
      <w:r w:rsidR="00A16E3B">
        <w:t xml:space="preserve"> ratio</w:t>
      </w:r>
      <w:r>
        <w:t xml:space="preserve"> were observed between temperature treatments</w:t>
      </w:r>
      <w:r w:rsidR="00273549">
        <w:t xml:space="preserve"> (Figure </w:t>
      </w:r>
      <w:r w:rsidR="004F36BA">
        <w:t>4</w:t>
      </w:r>
      <w:r w:rsidR="00273549">
        <w:t>)</w:t>
      </w:r>
      <w:r>
        <w:t xml:space="preserve">. </w:t>
      </w:r>
    </w:p>
    <w:p w14:paraId="0AECE335" w14:textId="2452DB2A" w:rsidR="00D64A77" w:rsidRDefault="001554ED" w:rsidP="00C56A3D">
      <w:pPr>
        <w:spacing w:line="480" w:lineRule="auto"/>
        <w:ind w:firstLine="720"/>
      </w:pPr>
      <w:r>
        <w:t>After 52 days in pCO</w:t>
      </w:r>
      <w:r>
        <w:rPr>
          <w:vertAlign w:val="subscript"/>
        </w:rPr>
        <w:t>2</w:t>
      </w:r>
      <w:r>
        <w:t xml:space="preserve"> treatments, gonad stage of the dominant sex differed significantly between ambient and high pCO</w:t>
      </w:r>
      <w:r>
        <w:rPr>
          <w:vertAlign w:val="subscript"/>
        </w:rPr>
        <w:t>2</w:t>
      </w:r>
      <w:r w:rsidR="00273549">
        <w:t xml:space="preserve"> </w:t>
      </w:r>
      <w:r>
        <w:t>in the oysters previously held in 10°C</w:t>
      </w:r>
      <w:r w:rsidR="00273549">
        <w:t xml:space="preserve"> (Table 2)</w:t>
      </w:r>
      <w:r>
        <w:t xml:space="preserve">. More mature </w:t>
      </w:r>
      <w:r>
        <w:lastRenderedPageBreak/>
        <w:t xml:space="preserve">gametes (stage 3) were found </w:t>
      </w:r>
      <w:r w:rsidR="00273549">
        <w:t xml:space="preserve">in </w:t>
      </w:r>
      <w:r>
        <w:t>10°C-ambient pCO</w:t>
      </w:r>
      <w:r>
        <w:rPr>
          <w:vertAlign w:val="subscript"/>
        </w:rPr>
        <w:t>2</w:t>
      </w:r>
      <w:r>
        <w:t xml:space="preserve"> (49%) compared to 10°C-high pCO</w:t>
      </w:r>
      <w:r>
        <w:rPr>
          <w:vertAlign w:val="subscript"/>
        </w:rPr>
        <w:t>2</w:t>
      </w:r>
      <w:r>
        <w:t xml:space="preserve"> (33%)</w:t>
      </w:r>
      <w:r w:rsidR="00273549">
        <w:t>.</w:t>
      </w:r>
      <w:r>
        <w:t xml:space="preserve"> This difference was strongly influenced by oysters that were predominantly male, as male gamete stage tended to differ between pCO</w:t>
      </w:r>
      <w:r>
        <w:rPr>
          <w:vertAlign w:val="subscript"/>
        </w:rPr>
        <w:t xml:space="preserve">2 </w:t>
      </w:r>
      <w:r>
        <w:t>treatment, but female gamete stage did not</w:t>
      </w:r>
      <w:r w:rsidR="00273549">
        <w:t xml:space="preserve"> (Table 2, Figure </w:t>
      </w:r>
      <w:r w:rsidR="004F36BA">
        <w:t>3</w:t>
      </w:r>
      <w:r w:rsidR="00273549">
        <w:t>)</w:t>
      </w:r>
      <w:r>
        <w:t>. In 6°C-treated oysters, there were no pCO</w:t>
      </w:r>
      <w:r>
        <w:rPr>
          <w:vertAlign w:val="subscript"/>
        </w:rPr>
        <w:t xml:space="preserve">2 </w:t>
      </w:r>
      <w:r>
        <w:t>effects on gonad stage of the dominant sex, male gamete stage, or female gamete stage. No gonad stage or sex</w:t>
      </w:r>
      <w:r w:rsidR="00A16E3B">
        <w:t xml:space="preserve"> ratio</w:t>
      </w:r>
      <w:r>
        <w:t xml:space="preserve"> differences were detected among oysters from 10°C-high pCO</w:t>
      </w:r>
      <w:r>
        <w:rPr>
          <w:vertAlign w:val="subscript"/>
        </w:rPr>
        <w:t>2</w:t>
      </w:r>
      <w:r>
        <w:t xml:space="preserve"> (combined stressors) and 6°C-ambient pCO</w:t>
      </w:r>
      <w:r>
        <w:rPr>
          <w:vertAlign w:val="subscript"/>
        </w:rPr>
        <w:t>2</w:t>
      </w:r>
      <w:r>
        <w:t xml:space="preserve"> (no stressors). Gonad sex did not differ significantly among treatments, however oysters tended to contain fewer male-only and more female-only gonad tissues in the riper, ambient pCO</w:t>
      </w:r>
      <w:r>
        <w:rPr>
          <w:vertAlign w:val="subscript"/>
        </w:rPr>
        <w:t>2</w:t>
      </w:r>
      <w:r>
        <w:t xml:space="preserve">-treated groups than male-only tissues (Figure </w:t>
      </w:r>
      <w:r w:rsidR="004F36BA">
        <w:t>4</w:t>
      </w:r>
      <w:r>
        <w:t xml:space="preserve">). </w:t>
      </w:r>
    </w:p>
    <w:p w14:paraId="1F06CB98" w14:textId="20D93FFB" w:rsidR="00273549" w:rsidRDefault="001554ED" w:rsidP="00273549">
      <w:pPr>
        <w:spacing w:line="480" w:lineRule="auto"/>
        <w:ind w:firstLine="720"/>
      </w:pPr>
      <w:r>
        <w:t>Compared to oysters before pCO</w:t>
      </w:r>
      <w:r>
        <w:rPr>
          <w:vertAlign w:val="subscript"/>
        </w:rPr>
        <w:t>2</w:t>
      </w:r>
      <w:r>
        <w:t xml:space="preserve"> exposure, those exposed to high pCO</w:t>
      </w:r>
      <w:r>
        <w:rPr>
          <w:vertAlign w:val="subscript"/>
        </w:rPr>
        <w:t>2</w:t>
      </w:r>
      <w:r>
        <w:t xml:space="preserve"> did not differ in gonad sex, stage of the dominant sex, or female gamete stage. Male gametes in the 6°C treated oysters </w:t>
      </w:r>
      <w:r w:rsidR="00203A52">
        <w:t>developed</w:t>
      </w:r>
      <w:r>
        <w:t xml:space="preserve"> while in the high pCO</w:t>
      </w:r>
      <w:r>
        <w:rPr>
          <w:vertAlign w:val="subscript"/>
        </w:rPr>
        <w:t>2</w:t>
      </w:r>
      <w:r>
        <w:t xml:space="preserve"> exposure, but </w:t>
      </w:r>
      <w:r w:rsidR="00203A52">
        <w:t>there was no</w:t>
      </w:r>
      <w:r>
        <w:t xml:space="preserve"> </w:t>
      </w:r>
      <w:r w:rsidR="00203A52">
        <w:t>change</w:t>
      </w:r>
      <w:r>
        <w:t xml:space="preserve"> </w:t>
      </w:r>
      <w:r w:rsidR="00203A52">
        <w:t>in the</w:t>
      </w:r>
      <w:r w:rsidR="003E65EA">
        <w:t xml:space="preserve"> </w:t>
      </w:r>
      <w:r>
        <w:t>10°C treated oysters. Oysters held in ambient pCO</w:t>
      </w:r>
      <w:r>
        <w:rPr>
          <w:vertAlign w:val="subscript"/>
        </w:rPr>
        <w:t>2</w:t>
      </w:r>
      <w:r>
        <w:t xml:space="preserve"> had significantly more advanced gonad compared to before CO</w:t>
      </w:r>
      <w:r>
        <w:rPr>
          <w:vertAlign w:val="subscript"/>
        </w:rPr>
        <w:t xml:space="preserve">2 </w:t>
      </w:r>
      <w:r>
        <w:t>exposure regardless of temperature, again influenced strongly by changes in male gamete stage</w:t>
      </w:r>
      <w:r w:rsidR="00273549">
        <w:t xml:space="preserve"> (Table 2)</w:t>
      </w:r>
      <w:r>
        <w:t>.</w:t>
      </w:r>
    </w:p>
    <w:p w14:paraId="32D4377C" w14:textId="1CEEAE22" w:rsidR="00D64A77" w:rsidRDefault="001554ED" w:rsidP="002B18E0">
      <w:pPr>
        <w:spacing w:line="480" w:lineRule="auto"/>
        <w:ind w:firstLine="720"/>
      </w:pPr>
      <w:r>
        <w:t xml:space="preserve">No sampled oysters contained brooded embryos or larvae. Gonad data and patterns within cohorts is reported in </w:t>
      </w:r>
      <w:r w:rsidR="00FF4727">
        <w:t>Appendix S1: Figures S3, S4, and Table S4.</w:t>
      </w:r>
      <w:r>
        <w:t xml:space="preserve"> </w:t>
      </w:r>
    </w:p>
    <w:p w14:paraId="1B1EDE69" w14:textId="77777777" w:rsidR="002B18E0" w:rsidRPr="00C56A3D" w:rsidRDefault="002B18E0" w:rsidP="002B18E0">
      <w:pPr>
        <w:spacing w:line="480" w:lineRule="auto"/>
        <w:ind w:firstLine="720"/>
      </w:pPr>
    </w:p>
    <w:p w14:paraId="12614E9D" w14:textId="77777777" w:rsidR="00D64A77" w:rsidRDefault="001554ED" w:rsidP="00C56A3D">
      <w:pPr>
        <w:spacing w:line="480" w:lineRule="auto"/>
      </w:pPr>
      <w:r>
        <w:rPr>
          <w:b/>
        </w:rPr>
        <w:t>Larval production</w:t>
      </w:r>
    </w:p>
    <w:p w14:paraId="3A11AA36" w14:textId="3815231B" w:rsidR="00D64A77" w:rsidRDefault="001554ED" w:rsidP="007431E1">
      <w:pPr>
        <w:pBdr>
          <w:top w:val="nil"/>
          <w:left w:val="nil"/>
          <w:bottom w:val="nil"/>
          <w:right w:val="nil"/>
          <w:between w:val="nil"/>
        </w:pBdr>
        <w:spacing w:line="480" w:lineRule="auto"/>
      </w:pPr>
      <w:r>
        <w:t xml:space="preserve">Adults exposed to 10°C produced </w:t>
      </w:r>
      <w:r w:rsidR="000379C3" w:rsidRPr="000379C3">
        <w:t>more larvae on a daily basis (excluding days where no larvae were released)</w:t>
      </w:r>
      <w:r w:rsidR="000379C3">
        <w:t xml:space="preserve"> </w:t>
      </w:r>
      <w:r>
        <w:t xml:space="preserve">than </w:t>
      </w:r>
      <w:r w:rsidR="00D66493">
        <w:t xml:space="preserve">those exposed to </w:t>
      </w:r>
      <w:r>
        <w:t>6°C in ambient pCO</w:t>
      </w:r>
      <w:r>
        <w:rPr>
          <w:vertAlign w:val="subscript"/>
        </w:rPr>
        <w:t>2</w:t>
      </w:r>
      <w:r>
        <w:t>-exposed oysters (p=0.040), but not in high pCO</w:t>
      </w:r>
      <w:r>
        <w:rPr>
          <w:vertAlign w:val="subscript"/>
        </w:rPr>
        <w:t>2</w:t>
      </w:r>
      <w:r>
        <w:t xml:space="preserve">-exposed oysters (p=0.66) (Figure </w:t>
      </w:r>
      <w:r w:rsidR="004F36BA">
        <w:t>6</w:t>
      </w:r>
      <w:r>
        <w:t>, pCO</w:t>
      </w:r>
      <w:r>
        <w:rPr>
          <w:vertAlign w:val="subscript"/>
        </w:rPr>
        <w:t>2</w:t>
      </w:r>
      <w:r>
        <w:t xml:space="preserve">:temperature interaction: (F(2,8)=5.1, p=0.037). Total larvae released over the </w:t>
      </w:r>
      <w:r w:rsidR="009A6F58">
        <w:t>9</w:t>
      </w:r>
      <w:r>
        <w:t xml:space="preserve">0-day </w:t>
      </w:r>
      <w:r w:rsidR="009A6F58">
        <w:t>spawning</w:t>
      </w:r>
      <w:r>
        <w:t xml:space="preserve"> period </w:t>
      </w:r>
      <w:r w:rsidR="002F4085">
        <w:t xml:space="preserve">tended to </w:t>
      </w:r>
      <w:r>
        <w:t>differ by treatment</w:t>
      </w:r>
      <w:r w:rsidR="002F4085">
        <w:t xml:space="preserve">, </w:t>
      </w:r>
      <w:r w:rsidR="002F4085">
        <w:lastRenderedPageBreak/>
        <w:t>but not significant</w:t>
      </w:r>
      <w:r w:rsidR="00D6264A">
        <w:t>ly</w:t>
      </w:r>
      <w:r>
        <w:t xml:space="preserve"> (</w:t>
      </w:r>
      <w:proofErr w:type="gramStart"/>
      <w:r>
        <w:t>temperature:pCO</w:t>
      </w:r>
      <w:proofErr w:type="gramEnd"/>
      <w:r>
        <w:rPr>
          <w:vertAlign w:val="subscript"/>
        </w:rPr>
        <w:t xml:space="preserve">2 </w:t>
      </w:r>
      <w:r>
        <w:t>interaction (F(2,8)=4.0, p=0.063). Temperature and pCO</w:t>
      </w:r>
      <w:r>
        <w:rPr>
          <w:vertAlign w:val="subscript"/>
        </w:rPr>
        <w:t>2</w:t>
      </w:r>
      <w:r>
        <w:t xml:space="preserve"> as single factors did not affect total </w:t>
      </w:r>
      <w:r w:rsidR="00FA4E07">
        <w:t>l</w:t>
      </w:r>
      <w:r>
        <w:t>arva</w:t>
      </w:r>
      <w:r w:rsidR="00FA4E07">
        <w:t>e</w:t>
      </w:r>
      <w:r>
        <w:t xml:space="preserve"> release</w:t>
      </w:r>
      <w:r w:rsidR="00FA4E07">
        <w:t>d or daily averages.</w:t>
      </w:r>
    </w:p>
    <w:p w14:paraId="52BBB6E7" w14:textId="299A896F" w:rsidR="00D64A77" w:rsidRDefault="001554ED" w:rsidP="00C56A3D">
      <w:pPr>
        <w:pBdr>
          <w:top w:val="nil"/>
          <w:left w:val="nil"/>
          <w:bottom w:val="nil"/>
          <w:right w:val="nil"/>
          <w:between w:val="nil"/>
        </w:pBdr>
        <w:spacing w:line="480" w:lineRule="auto"/>
        <w:ind w:firstLine="720"/>
      </w:pPr>
      <w:r>
        <w:t>The date of first larval release differed by temperature regardless of pCO</w:t>
      </w:r>
      <w:r>
        <w:rPr>
          <w:vertAlign w:val="subscript"/>
        </w:rPr>
        <w:t>2</w:t>
      </w:r>
      <w:r w:rsidRPr="00E808F8">
        <w:t xml:space="preserve"> </w:t>
      </w:r>
      <w:r>
        <w:t>(Figure</w:t>
      </w:r>
      <w:r w:rsidR="004F36BA">
        <w:t>s</w:t>
      </w:r>
      <w:r>
        <w:t xml:space="preserve"> </w:t>
      </w:r>
      <w:r w:rsidR="004F36BA">
        <w:t>5 &amp; 6</w:t>
      </w:r>
      <w:r>
        <w:t xml:space="preserve">, </w:t>
      </w:r>
      <w:proofErr w:type="gramStart"/>
      <w:r>
        <w:t>F(</w:t>
      </w:r>
      <w:proofErr w:type="gramEnd"/>
      <w:r>
        <w:t>1,8)=11.9, p=0.0087)</w:t>
      </w:r>
      <w:r w:rsidR="00CD0C8C">
        <w:t>, and</w:t>
      </w:r>
      <w:r>
        <w:t xml:space="preserve"> pCO</w:t>
      </w:r>
      <w:r>
        <w:rPr>
          <w:vertAlign w:val="subscript"/>
        </w:rPr>
        <w:t xml:space="preserve">2 </w:t>
      </w:r>
      <w:r>
        <w:t xml:space="preserve">had no effect on timing (not retained in model). Onset was on average 5.2 days earlier in the 10°C treatment. Timing of peak larval release </w:t>
      </w:r>
      <w:r w:rsidR="00FA4E07">
        <w:t xml:space="preserve">also </w:t>
      </w:r>
      <w:r>
        <w:t>differed by temperature treatment regardless of pCO</w:t>
      </w:r>
      <w:r>
        <w:rPr>
          <w:vertAlign w:val="subscript"/>
        </w:rPr>
        <w:t>2</w:t>
      </w:r>
      <w:r>
        <w:t xml:space="preserve"> (Figure </w:t>
      </w:r>
      <w:r w:rsidR="004F36BA">
        <w:t>6</w:t>
      </w:r>
      <w:r>
        <w:t xml:space="preserve">, </w:t>
      </w:r>
      <w:proofErr w:type="gramStart"/>
      <w:r>
        <w:t>F(</w:t>
      </w:r>
      <w:proofErr w:type="gramEnd"/>
      <w:r>
        <w:t>3,19)=6.7, p=0.018), occurring on average 8.3 days earlier in 10°C oysters. The 10°C treated oysters produced more large pulses of larvae, on average 2 additional days, than 6°C (</w:t>
      </w:r>
      <w:proofErr w:type="gramStart"/>
      <w:r>
        <w:t>F(</w:t>
      </w:r>
      <w:proofErr w:type="gramEnd"/>
      <w:r>
        <w:t xml:space="preserve">1,8=7.25, p=0.027). </w:t>
      </w:r>
    </w:p>
    <w:p w14:paraId="06649B3B" w14:textId="6067BE3E" w:rsidR="00D64A77" w:rsidRDefault="009A6F58" w:rsidP="00C56A3D">
      <w:pPr>
        <w:spacing w:line="480" w:lineRule="auto"/>
        <w:ind w:firstLine="720"/>
      </w:pPr>
      <w:r>
        <w:t>In total</w:t>
      </w:r>
      <w:r w:rsidR="001554ED">
        <w:t>, 18.5 million larvae were collected from 767 oysters. Total larvae produced by each treatment was 3.1M, 4.8M, 5.9M, and 4.5M for 6°C-ambient pCO</w:t>
      </w:r>
      <w:r w:rsidR="001554ED">
        <w:rPr>
          <w:vertAlign w:val="subscript"/>
        </w:rPr>
        <w:t>2</w:t>
      </w:r>
      <w:r w:rsidR="001554ED">
        <w:t>, 6°C-high pCO</w:t>
      </w:r>
      <w:r w:rsidR="001554ED">
        <w:rPr>
          <w:vertAlign w:val="subscript"/>
        </w:rPr>
        <w:t>2</w:t>
      </w:r>
      <w:r w:rsidR="001554ED">
        <w:t>, 10°C-ambient pCO</w:t>
      </w:r>
      <w:r w:rsidR="001554ED">
        <w:rPr>
          <w:vertAlign w:val="subscript"/>
        </w:rPr>
        <w:t>2</w:t>
      </w:r>
      <w:r w:rsidR="001554ED">
        <w:t>, and 10°C-high pCO</w:t>
      </w:r>
      <w:r w:rsidR="001554ED">
        <w:rPr>
          <w:vertAlign w:val="subscript"/>
        </w:rPr>
        <w:t>2</w:t>
      </w:r>
      <w:r w:rsidR="001554ED">
        <w:t xml:space="preserve">, respectively. Based on reports of </w:t>
      </w:r>
      <w:r>
        <w:t xml:space="preserve">approximately </w:t>
      </w:r>
      <w:r w:rsidR="001554ED">
        <w:t>215</w:t>
      </w:r>
      <w:r w:rsidR="00CD0C8C">
        <w:t>,000</w:t>
      </w:r>
      <w:r w:rsidR="001554ED">
        <w:t xml:space="preserve"> larvae </w:t>
      </w:r>
      <w:r>
        <w:t>produced per adult</w:t>
      </w:r>
      <w:r w:rsidR="001554ED">
        <w:t xml:space="preserve"> </w:t>
      </w:r>
      <w:r w:rsidR="001554ED">
        <w:rPr>
          <w:i/>
        </w:rPr>
        <w:t xml:space="preserve">O. </w:t>
      </w:r>
      <w:proofErr w:type="spellStart"/>
      <w:r w:rsidR="001554ED">
        <w:rPr>
          <w:i/>
        </w:rPr>
        <w:t>lurida</w:t>
      </w:r>
      <w:proofErr w:type="spellEnd"/>
      <w:r w:rsidR="001554ED">
        <w:rPr>
          <w:i/>
        </w:rPr>
        <w:t xml:space="preserve"> </w:t>
      </w:r>
      <w:r w:rsidR="001554ED">
        <w:t xml:space="preserve">of shell height 35 mm </w:t>
      </w:r>
      <w:hyperlink r:id="rId99">
        <w:r w:rsidR="001554ED">
          <w:rPr>
            <w:color w:val="000000"/>
          </w:rPr>
          <w:t>(Hopkins, 1936)</w:t>
        </w:r>
      </w:hyperlink>
      <w:r w:rsidR="001554ED">
        <w:t xml:space="preserve">, the number of oysters that spawned as female </w:t>
      </w:r>
      <w:r>
        <w:t xml:space="preserve">in this study </w:t>
      </w:r>
      <w:r w:rsidR="001554ED">
        <w:t>was approximately</w:t>
      </w:r>
      <w:r w:rsidR="00DD4F86">
        <w:t xml:space="preserve"> 86, with</w:t>
      </w:r>
      <w:r w:rsidR="001554ED">
        <w:t xml:space="preserve"> 14.3, 22.5, 27.6, and 21.0 </w:t>
      </w:r>
      <w:r w:rsidR="00DD4F86">
        <w:t xml:space="preserve">from </w:t>
      </w:r>
      <w:r w:rsidR="001554ED">
        <w:t>the 6°C-ambient pCO</w:t>
      </w:r>
      <w:r w:rsidR="001554ED">
        <w:rPr>
          <w:vertAlign w:val="subscript"/>
        </w:rPr>
        <w:t>2</w:t>
      </w:r>
      <w:r w:rsidR="001554ED">
        <w:t>, 6°C-high pCO</w:t>
      </w:r>
      <w:r w:rsidR="001554ED">
        <w:rPr>
          <w:vertAlign w:val="subscript"/>
        </w:rPr>
        <w:t>2</w:t>
      </w:r>
      <w:r w:rsidR="001554ED">
        <w:t>, 10°C-ambient pCO</w:t>
      </w:r>
      <w:r w:rsidR="001554ED">
        <w:rPr>
          <w:vertAlign w:val="subscript"/>
        </w:rPr>
        <w:t>2</w:t>
      </w:r>
      <w:r w:rsidR="001554ED">
        <w:t>, and 10°C-high pCO</w:t>
      </w:r>
      <w:r w:rsidR="001554ED">
        <w:rPr>
          <w:vertAlign w:val="subscript"/>
        </w:rPr>
        <w:t xml:space="preserve">2 </w:t>
      </w:r>
      <w:r w:rsidR="001554ED">
        <w:t>treatments, respectively. This estimate</w:t>
      </w:r>
      <w:r w:rsidR="00FA4E07">
        <w:t xml:space="preserve"> </w:t>
      </w:r>
      <w:r w:rsidR="001554ED">
        <w:t>is likely low across all treatments, due to the smaller D and O-2 cohorts (mean length in F, D, O-1 and O-2 was 35.7 mm, 29.8 mm, 35.7 mm, and 20.0 mm, respectively)</w:t>
      </w:r>
      <w:r w:rsidR="00DD4F86">
        <w:t>, therefore the</w:t>
      </w:r>
      <w:r w:rsidR="00EB7C8F">
        <w:t xml:space="preserve"> total</w:t>
      </w:r>
      <w:r w:rsidR="00DD4F86">
        <w:t xml:space="preserve"> number of </w:t>
      </w:r>
      <w:r w:rsidR="00EB7C8F">
        <w:t>oysters</w:t>
      </w:r>
      <w:r w:rsidR="00DD4F86">
        <w:t xml:space="preserve"> that </w:t>
      </w:r>
      <w:r w:rsidR="00EB7C8F">
        <w:t xml:space="preserve">spawned as female and </w:t>
      </w:r>
      <w:r w:rsidR="00DD4F86">
        <w:t>released larvae is likely higher than 86</w:t>
      </w:r>
      <w:r w:rsidR="001554ED">
        <w:t xml:space="preserve">. </w:t>
      </w:r>
    </w:p>
    <w:p w14:paraId="5CA3DBB5" w14:textId="1C49C0B5" w:rsidR="00D64A77" w:rsidRDefault="001554ED" w:rsidP="00C56A3D">
      <w:pPr>
        <w:spacing w:line="480" w:lineRule="auto"/>
        <w:ind w:firstLine="720"/>
      </w:pPr>
      <w:r>
        <w:t xml:space="preserve">Larval production and timing data, including differences among cohorts, are included in </w:t>
      </w:r>
      <w:r w:rsidR="00FF4727">
        <w:t>Appendix S1: Section S5 and Table S5</w:t>
      </w:r>
      <w:r>
        <w:t>.</w:t>
      </w:r>
    </w:p>
    <w:p w14:paraId="37106693" w14:textId="77777777" w:rsidR="00620AFD" w:rsidRDefault="00620AFD" w:rsidP="00C56A3D">
      <w:pPr>
        <w:spacing w:line="480" w:lineRule="auto"/>
      </w:pPr>
    </w:p>
    <w:p w14:paraId="231F774E" w14:textId="62C7FB52" w:rsidR="00D64A77" w:rsidRDefault="001554ED" w:rsidP="00C56A3D">
      <w:pPr>
        <w:spacing w:line="480" w:lineRule="auto"/>
        <w:rPr>
          <w:b/>
        </w:rPr>
      </w:pPr>
      <w:r>
        <w:rPr>
          <w:b/>
        </w:rPr>
        <w:t>Offspring survival in a natural setting</w:t>
      </w:r>
    </w:p>
    <w:p w14:paraId="0930C0C2" w14:textId="3D1020A3" w:rsidR="00D64A77" w:rsidRDefault="001554ED" w:rsidP="007431E1">
      <w:pPr>
        <w:spacing w:line="480" w:lineRule="auto"/>
      </w:pPr>
      <w:r>
        <w:lastRenderedPageBreak/>
        <w:t>Juvenile survival after three months in the field was on average 15% higher in cohorts from high pCO</w:t>
      </w:r>
      <w:r>
        <w:rPr>
          <w:vertAlign w:val="subscript"/>
        </w:rPr>
        <w:t>2</w:t>
      </w:r>
      <w:r>
        <w:t xml:space="preserve"> exposed parents than from ambient pCO</w:t>
      </w:r>
      <w:r>
        <w:rPr>
          <w:vertAlign w:val="subscript"/>
        </w:rPr>
        <w:t>2</w:t>
      </w:r>
      <w:r>
        <w:t xml:space="preserve"> parents (44±37%, and 29±27%, respectively, 𝝌</w:t>
      </w:r>
      <w:r>
        <w:rPr>
          <w:vertAlign w:val="superscript"/>
        </w:rPr>
        <w:t>2</w:t>
      </w:r>
      <w:r>
        <w:t>=10.6, p=0.0011). The influence of parental pCO</w:t>
      </w:r>
      <w:r>
        <w:rPr>
          <w:vertAlign w:val="subscript"/>
        </w:rPr>
        <w:t>2</w:t>
      </w:r>
      <w:r>
        <w:t xml:space="preserve"> on survival varied </w:t>
      </w:r>
      <w:r w:rsidR="002C1A74">
        <w:t xml:space="preserve">by </w:t>
      </w:r>
      <w:r>
        <w:t>bay (</w:t>
      </w:r>
      <w:proofErr w:type="spellStart"/>
      <w:proofErr w:type="gramStart"/>
      <w:r>
        <w:t>bay:parental</w:t>
      </w:r>
      <w:proofErr w:type="spellEnd"/>
      <w:proofErr w:type="gramEnd"/>
      <w:r>
        <w:t xml:space="preserve"> pCO</w:t>
      </w:r>
      <w:r>
        <w:rPr>
          <w:vertAlign w:val="subscript"/>
        </w:rPr>
        <w:t>2</w:t>
      </w:r>
      <w:r>
        <w:t xml:space="preserve"> interaction 𝝌</w:t>
      </w:r>
      <w:r>
        <w:rPr>
          <w:vertAlign w:val="superscript"/>
        </w:rPr>
        <w:t>2</w:t>
      </w:r>
      <w:r>
        <w:t>=15.3, p=1.6e-3)</w:t>
      </w:r>
      <w:r w:rsidR="002C1A74">
        <w:t>, and by cohort (</w:t>
      </w:r>
      <w:proofErr w:type="spellStart"/>
      <w:r w:rsidR="002C1A74">
        <w:t>cohort:parental</w:t>
      </w:r>
      <w:proofErr w:type="spellEnd"/>
      <w:r w:rsidR="002C1A74">
        <w:t xml:space="preserve"> pCO</w:t>
      </w:r>
      <w:r w:rsidR="002C1A74">
        <w:rPr>
          <w:vertAlign w:val="subscript"/>
        </w:rPr>
        <w:t>2</w:t>
      </w:r>
      <w:r w:rsidR="002C1A74">
        <w:t xml:space="preserve"> interaction </w:t>
      </w:r>
      <w:r w:rsidR="002C1A74">
        <w:rPr>
          <w:rFonts w:ascii="Cambria Math" w:hAnsi="Cambria Math" w:cs="Cambria Math"/>
        </w:rPr>
        <w:t>𝝌</w:t>
      </w:r>
      <w:r w:rsidR="002C1A74">
        <w:rPr>
          <w:vertAlign w:val="superscript"/>
        </w:rPr>
        <w:t>2</w:t>
      </w:r>
      <w:r w:rsidR="002C1A74">
        <w:t>=23.5, p=3.2e-5)</w:t>
      </w:r>
      <w:r>
        <w:t xml:space="preserve"> (Table 3).</w:t>
      </w:r>
    </w:p>
    <w:p w14:paraId="2E5F88A7" w14:textId="63C176DE" w:rsidR="00D64A77" w:rsidRDefault="002C1A74" w:rsidP="00C56A3D">
      <w:pPr>
        <w:spacing w:line="480" w:lineRule="auto"/>
        <w:ind w:firstLine="720"/>
      </w:pPr>
      <w:r>
        <w:t>S</w:t>
      </w:r>
      <w:r w:rsidR="001554ED">
        <w:t>urvival in offspring from high pCO</w:t>
      </w:r>
      <w:r w:rsidR="001554ED">
        <w:rPr>
          <w:vertAlign w:val="subscript"/>
        </w:rPr>
        <w:t>2</w:t>
      </w:r>
      <w:r w:rsidR="001554ED">
        <w:t xml:space="preserve"> parents was higher in the </w:t>
      </w:r>
      <w:proofErr w:type="spellStart"/>
      <w:r w:rsidR="001554ED">
        <w:t>Fidalgo</w:t>
      </w:r>
      <w:proofErr w:type="spellEnd"/>
      <w:r w:rsidR="001554ED">
        <w:t xml:space="preserve"> </w:t>
      </w:r>
      <w:r>
        <w:t>Bay a</w:t>
      </w:r>
      <w:r w:rsidR="001554ED">
        <w:t xml:space="preserve">nd Port Gamble </w:t>
      </w:r>
      <w:r>
        <w:t>B</w:t>
      </w:r>
      <w:r w:rsidR="001554ED">
        <w:t>ay</w:t>
      </w:r>
      <w:r>
        <w:t xml:space="preserve"> locations</w:t>
      </w:r>
      <w:r w:rsidR="001554ED">
        <w:t xml:space="preserve"> (𝝌</w:t>
      </w:r>
      <w:r w:rsidR="001554ED">
        <w:rPr>
          <w:vertAlign w:val="superscript"/>
        </w:rPr>
        <w:t>2</w:t>
      </w:r>
      <w:r w:rsidR="001554ED">
        <w:t>=17.7, p= 2.6e-5; 𝝌2=10.0, p=1.6e-3, respectively), but this was not the case in Skokomish River Delta or Case Inlet.</w:t>
      </w:r>
      <w:r>
        <w:t xml:space="preserve"> Survival in the </w:t>
      </w:r>
      <w:r w:rsidR="001554ED">
        <w:t>F cohort was 38% higher in oyster from pCO</w:t>
      </w:r>
      <w:r w:rsidR="001554ED">
        <w:rPr>
          <w:vertAlign w:val="subscript"/>
        </w:rPr>
        <w:t>2</w:t>
      </w:r>
      <w:r w:rsidR="001554ED">
        <w:t xml:space="preserve"> parents than those from ambient pCO</w:t>
      </w:r>
      <w:r w:rsidR="001554ED">
        <w:rPr>
          <w:vertAlign w:val="subscript"/>
        </w:rPr>
        <w:t>2</w:t>
      </w:r>
      <w:r w:rsidR="001554ED">
        <w:t xml:space="preserve"> parents across all deployment bays (𝝌</w:t>
      </w:r>
      <w:r w:rsidR="001554ED">
        <w:rPr>
          <w:vertAlign w:val="superscript"/>
        </w:rPr>
        <w:t>2</w:t>
      </w:r>
      <w:r w:rsidR="001554ED">
        <w:t xml:space="preserve">=28.1, p=4.6e-7), and within the </w:t>
      </w:r>
      <w:proofErr w:type="spellStart"/>
      <w:r w:rsidR="001554ED">
        <w:t>Fidalgo</w:t>
      </w:r>
      <w:proofErr w:type="spellEnd"/>
      <w:r w:rsidR="001554ED">
        <w:t xml:space="preserve"> Bay location (𝝌</w:t>
      </w:r>
      <w:r w:rsidR="001554ED">
        <w:rPr>
          <w:vertAlign w:val="superscript"/>
        </w:rPr>
        <w:t>2</w:t>
      </w:r>
      <w:r w:rsidR="001554ED">
        <w:t>=17.6, p-</w:t>
      </w:r>
      <w:proofErr w:type="spellStart"/>
      <w:r w:rsidR="001554ED">
        <w:t>adj</w:t>
      </w:r>
      <w:proofErr w:type="spellEnd"/>
      <w:r w:rsidR="001554ED">
        <w:t>=0.0001). Survival in the D and O-1 cohorts did not differ significantly between parental pCO</w:t>
      </w:r>
      <w:r w:rsidR="001554ED">
        <w:rPr>
          <w:vertAlign w:val="subscript"/>
        </w:rPr>
        <w:t>2</w:t>
      </w:r>
      <w:r w:rsidR="001554ED">
        <w:t xml:space="preserve"> across all bays (D: 𝝌</w:t>
      </w:r>
      <w:r w:rsidR="001554ED">
        <w:rPr>
          <w:vertAlign w:val="superscript"/>
        </w:rPr>
        <w:t>2</w:t>
      </w:r>
      <w:r w:rsidR="001554ED">
        <w:t>=0.4, p=1, O-1: 𝝌</w:t>
      </w:r>
      <w:r w:rsidR="001554ED">
        <w:rPr>
          <w:vertAlign w:val="superscript"/>
        </w:rPr>
        <w:t>2</w:t>
      </w:r>
      <w:r w:rsidR="001554ED">
        <w:t>=2.5, p=0.44), or within individual bays. More O-2 juveniles with ambient pCO</w:t>
      </w:r>
      <w:r w:rsidR="001554ED">
        <w:rPr>
          <w:vertAlign w:val="subscript"/>
        </w:rPr>
        <w:t>2</w:t>
      </w:r>
      <w:r w:rsidR="001554ED">
        <w:t xml:space="preserve"> parents survived across all bays (𝝌</w:t>
      </w:r>
      <w:r w:rsidR="001554ED">
        <w:rPr>
          <w:vertAlign w:val="superscript"/>
        </w:rPr>
        <w:t>2</w:t>
      </w:r>
      <w:r w:rsidR="001554ED">
        <w:t>=9.1, p=0.010), and within the Skokomish River Delta (𝝌</w:t>
      </w:r>
      <w:r w:rsidR="001554ED">
        <w:rPr>
          <w:vertAlign w:val="superscript"/>
        </w:rPr>
        <w:t>2</w:t>
      </w:r>
      <w:r w:rsidR="001554ED">
        <w:t xml:space="preserve">=8.9, p=0.011). </w:t>
      </w:r>
    </w:p>
    <w:p w14:paraId="220A2EA9" w14:textId="1FB64B69" w:rsidR="00D64A77" w:rsidRDefault="001554ED" w:rsidP="00C56A3D">
      <w:pPr>
        <w:spacing w:line="480" w:lineRule="auto"/>
        <w:ind w:firstLine="720"/>
      </w:pPr>
      <w:r>
        <w:t>Without considering parental pCO</w:t>
      </w:r>
      <w:r>
        <w:rPr>
          <w:vertAlign w:val="subscript"/>
        </w:rPr>
        <w:t>2</w:t>
      </w:r>
      <w:r>
        <w:t xml:space="preserve">, more oysters survived in Port Gamble Bay (mean 49±36%) and </w:t>
      </w:r>
      <w:proofErr w:type="spellStart"/>
      <w:r>
        <w:t>Fidalgo</w:t>
      </w:r>
      <w:proofErr w:type="spellEnd"/>
      <w:r>
        <w:t xml:space="preserve"> Bay (39±36%) than in Case Inlet (mean 29±29%, p=0.012 &amp; p=0.037, respectively)</w:t>
      </w:r>
      <w:r w:rsidR="002C1A74">
        <w:t xml:space="preserve"> (bay factor, </w:t>
      </w:r>
      <w:r w:rsidR="002C1A74">
        <w:rPr>
          <w:rFonts w:ascii="Cambria Math" w:hAnsi="Cambria Math" w:cs="Cambria Math"/>
        </w:rPr>
        <w:t>𝝌</w:t>
      </w:r>
      <w:r w:rsidR="002C1A74">
        <w:rPr>
          <w:vertAlign w:val="superscript"/>
        </w:rPr>
        <w:t>2</w:t>
      </w:r>
      <w:r w:rsidR="002C1A74">
        <w:t>=18.5, p=3.4e-4)</w:t>
      </w:r>
      <w:r>
        <w:t>. Survival at Skokomish River Delta did not differ significantly from other locations (32±27%). No interaction between cohort and bay was detected (𝝌</w:t>
      </w:r>
      <w:r>
        <w:rPr>
          <w:vertAlign w:val="superscript"/>
        </w:rPr>
        <w:t>2</w:t>
      </w:r>
      <w:r>
        <w:t xml:space="preserve">=9.8, p=0.37) (Figure </w:t>
      </w:r>
      <w:r w:rsidR="004F36BA">
        <w:t>7</w:t>
      </w:r>
      <w:r>
        <w:t xml:space="preserve">, Table 3). </w:t>
      </w:r>
    </w:p>
    <w:p w14:paraId="20DBD11A" w14:textId="70DF43EE" w:rsidR="009A6F58" w:rsidRDefault="001554ED" w:rsidP="001F5B36">
      <w:pPr>
        <w:spacing w:line="480" w:lineRule="auto"/>
        <w:ind w:firstLine="720"/>
      </w:pPr>
      <w:r>
        <w:t xml:space="preserve">Shell </w:t>
      </w:r>
      <w:r w:rsidR="007F1605">
        <w:t xml:space="preserve">length was </w:t>
      </w:r>
      <w:r>
        <w:t>not affected by bay, cohort or parental pCO</w:t>
      </w:r>
      <w:r>
        <w:rPr>
          <w:vertAlign w:val="subscript"/>
        </w:rPr>
        <w:t>2</w:t>
      </w:r>
      <w:r w:rsidR="0084316F">
        <w:t xml:space="preserve">. </w:t>
      </w:r>
      <w:r w:rsidR="00E31799">
        <w:t>The</w:t>
      </w:r>
      <w:r w:rsidR="00DF1B50">
        <w:t xml:space="preserve"> </w:t>
      </w:r>
      <w:r w:rsidR="00E31799">
        <w:t>m</w:t>
      </w:r>
      <w:r w:rsidR="0084316F">
        <w:t xml:space="preserve">ass per oyster </w:t>
      </w:r>
      <w:r w:rsidR="001F5B36">
        <w:t xml:space="preserve">(compared to before deployment) </w:t>
      </w:r>
      <w:r w:rsidR="0084316F">
        <w:t>differed by cohort (F(3,7</w:t>
      </w:r>
      <w:r w:rsidR="007F1605">
        <w:t>6</w:t>
      </w:r>
      <w:r w:rsidR="0084316F">
        <w:t>)=1</w:t>
      </w:r>
      <w:r w:rsidR="007F1605">
        <w:t>5.9</w:t>
      </w:r>
      <w:r w:rsidR="0084316F">
        <w:t>, p=</w:t>
      </w:r>
      <w:r w:rsidR="007F1605">
        <w:t>4</w:t>
      </w:r>
      <w:r w:rsidR="00E31799">
        <w:t>.</w:t>
      </w:r>
      <w:r w:rsidR="007F1605">
        <w:t>0</w:t>
      </w:r>
      <w:r w:rsidR="0084316F">
        <w:t>e-</w:t>
      </w:r>
      <w:r w:rsidR="007F1605">
        <w:t>8</w:t>
      </w:r>
      <w:r w:rsidR="0084316F">
        <w:t xml:space="preserve">), </w:t>
      </w:r>
      <w:r w:rsidR="00E31799">
        <w:t>due to</w:t>
      </w:r>
      <w:r w:rsidR="0084316F">
        <w:t xml:space="preserve"> </w:t>
      </w:r>
      <w:proofErr w:type="spellStart"/>
      <w:r w:rsidR="0084316F">
        <w:t>Dabob</w:t>
      </w:r>
      <w:proofErr w:type="spellEnd"/>
      <w:r w:rsidR="0084316F">
        <w:t xml:space="preserve"> Bay</w:t>
      </w:r>
      <w:r w:rsidR="001F5B36">
        <w:t xml:space="preserve"> cohort</w:t>
      </w:r>
      <w:r w:rsidR="00E31799">
        <w:t xml:space="preserve"> </w:t>
      </w:r>
      <w:r w:rsidR="001F5B36">
        <w:t>growing</w:t>
      </w:r>
      <w:r w:rsidR="00E31799">
        <w:t xml:space="preserve"> less than the other three cohorts </w:t>
      </w:r>
      <w:r w:rsidR="001F5B36">
        <w:t>(∆ g/oyster: D=</w:t>
      </w:r>
      <w:r w:rsidR="007F1605">
        <w:t>0.5</w:t>
      </w:r>
      <w:r w:rsidR="001F5B36">
        <w:t>,</w:t>
      </w:r>
      <w:r w:rsidR="007F1605">
        <w:t xml:space="preserve"> </w:t>
      </w:r>
      <w:r w:rsidR="00E31799">
        <w:t>F</w:t>
      </w:r>
      <w:r w:rsidR="001F5B36">
        <w:t>=</w:t>
      </w:r>
      <w:r w:rsidR="00E31799">
        <w:t>1.2</w:t>
      </w:r>
      <w:r w:rsidR="001F5B36">
        <w:t xml:space="preserve">, </w:t>
      </w:r>
      <w:r w:rsidR="00E31799">
        <w:t>O-1</w:t>
      </w:r>
      <w:r w:rsidR="001F5B36">
        <w:t>=</w:t>
      </w:r>
      <w:r w:rsidR="00E31799">
        <w:t>1.6</w:t>
      </w:r>
      <w:r w:rsidR="001F5B36">
        <w:t>, &amp; O-2=1.0</w:t>
      </w:r>
      <w:r w:rsidR="00E31799">
        <w:t>)</w:t>
      </w:r>
      <w:r w:rsidR="001F5B36">
        <w:t>. Mass change also differed by</w:t>
      </w:r>
      <w:r w:rsidR="007F1605">
        <w:t xml:space="preserve"> bay (F(3,76)=4.8, p=</w:t>
      </w:r>
      <w:r w:rsidR="001F5B36">
        <w:t>3.9e-3</w:t>
      </w:r>
      <w:r w:rsidR="007F1605">
        <w:t xml:space="preserve">) due to </w:t>
      </w:r>
      <w:r w:rsidR="001F5B36">
        <w:t xml:space="preserve">less growth in oysters </w:t>
      </w:r>
      <w:r w:rsidR="001F5B36">
        <w:lastRenderedPageBreak/>
        <w:t>placed at</w:t>
      </w:r>
      <w:r w:rsidR="007F1605">
        <w:t xml:space="preserve"> </w:t>
      </w:r>
      <w:proofErr w:type="spellStart"/>
      <w:r w:rsidR="007F1605">
        <w:t>Fidalgo</w:t>
      </w:r>
      <w:proofErr w:type="spellEnd"/>
      <w:r w:rsidR="007F1605">
        <w:t xml:space="preserve"> Bay than in Port Gamble </w:t>
      </w:r>
      <w:r w:rsidR="001F5B36">
        <w:t xml:space="preserve">Bay </w:t>
      </w:r>
      <w:r w:rsidR="007F1605">
        <w:t xml:space="preserve">and Case </w:t>
      </w:r>
      <w:r w:rsidR="001F5B36">
        <w:t>Inlet (∆ g/oyster: FB=0.7, PGB=1.0, CI=1.1, SK=0.8)</w:t>
      </w:r>
      <w:r w:rsidR="004F36BA">
        <w:t xml:space="preserve"> (</w:t>
      </w:r>
      <w:r w:rsidR="00FF4727">
        <w:t xml:space="preserve">Appendix S1: </w:t>
      </w:r>
      <w:r w:rsidR="004F36BA">
        <w:t xml:space="preserve">Figure </w:t>
      </w:r>
      <w:r w:rsidR="00FF4727">
        <w:t>S</w:t>
      </w:r>
      <w:r w:rsidR="004F36BA">
        <w:t>5)</w:t>
      </w:r>
      <w:r w:rsidR="001F5B36">
        <w:t xml:space="preserve">. </w:t>
      </w:r>
    </w:p>
    <w:p w14:paraId="1AC2E487" w14:textId="7FE108FF" w:rsidR="0046679D" w:rsidRDefault="0046679D" w:rsidP="0046679D">
      <w:pPr>
        <w:suppressLineNumbers/>
        <w:spacing w:line="276" w:lineRule="auto"/>
        <w:rPr>
          <w:b/>
          <w:sz w:val="36"/>
          <w:szCs w:val="36"/>
        </w:rPr>
      </w:pPr>
    </w:p>
    <w:p w14:paraId="1F71C663" w14:textId="11E1B3FE" w:rsidR="00C56A3D" w:rsidRDefault="001554ED" w:rsidP="00C56A3D">
      <w:pPr>
        <w:spacing w:line="480" w:lineRule="auto"/>
      </w:pPr>
      <w:r>
        <w:rPr>
          <w:b/>
          <w:sz w:val="36"/>
          <w:szCs w:val="36"/>
        </w:rPr>
        <w:t>Discussion</w:t>
      </w:r>
    </w:p>
    <w:p w14:paraId="13520AE0" w14:textId="73C6C3D3" w:rsidR="00D64A77" w:rsidRPr="00C56A3D" w:rsidRDefault="001554ED" w:rsidP="00620AFD">
      <w:pPr>
        <w:spacing w:after="240" w:line="480" w:lineRule="auto"/>
      </w:pPr>
      <w:r>
        <w:t xml:space="preserve">Ocean acidification and ocean warming potentially threaten marine </w:t>
      </w:r>
      <w:r w:rsidR="00C53EE6">
        <w:t>organisms</w:t>
      </w:r>
      <w:r w:rsidR="00A740C3">
        <w:t xml:space="preserve">, particularly ectothermic </w:t>
      </w:r>
      <w:proofErr w:type="spellStart"/>
      <w:r w:rsidR="00A740C3">
        <w:t>calcifiers</w:t>
      </w:r>
      <w:proofErr w:type="spellEnd"/>
      <w:r w:rsidR="00F44BCB">
        <w:t xml:space="preserve"> (Hoffman </w:t>
      </w:r>
      <w:r w:rsidR="00F44BCB">
        <w:rPr>
          <w:i/>
        </w:rPr>
        <w:t xml:space="preserve">et al. </w:t>
      </w:r>
      <w:r w:rsidR="00F44BCB">
        <w:t>2010)</w:t>
      </w:r>
      <w:r>
        <w:t>. An organism’s genotype, complete environmental history, and the timing and magnitude of environmental perturbations may all determine its fitness in future ocean conditions. To begin teasing apart these complex factors</w:t>
      </w:r>
      <w:r w:rsidR="000B4C71">
        <w:t xml:space="preserve"> in the Olympia oyster</w:t>
      </w:r>
      <w:r>
        <w:t xml:space="preserve">, this study </w:t>
      </w:r>
      <w:r w:rsidR="002E1EE6">
        <w:t xml:space="preserve">examined </w:t>
      </w:r>
      <w:r>
        <w:t>four adult cohorts with distinct genetic structure but known, shared histories. Elevated winter temperature resulted in increased gonad development, which corresponded with earlier and more frequent larval release (on average 5.2 days earlier, 2 additional days). High pCO</w:t>
      </w:r>
      <w:r>
        <w:rPr>
          <w:vertAlign w:val="subscript"/>
        </w:rPr>
        <w:t>2</w:t>
      </w:r>
      <w:r>
        <w:t xml:space="preserve"> exposure negatively influenced gonad maturation </w:t>
      </w:r>
      <w:proofErr w:type="gramStart"/>
      <w:r>
        <w:t>state, but</w:t>
      </w:r>
      <w:proofErr w:type="gramEnd"/>
      <w:r>
        <w:t xml:space="preserve"> did not affect subsequent fecundity. Offspring from parents exposed to elevated pCO</w:t>
      </w:r>
      <w:r>
        <w:rPr>
          <w:vertAlign w:val="subscript"/>
        </w:rPr>
        <w:t xml:space="preserve">2 </w:t>
      </w:r>
      <w:r>
        <w:t>had higher overall survival upon deployment</w:t>
      </w:r>
      <w:r w:rsidR="003361CC">
        <w:t>. Differences in j</w:t>
      </w:r>
      <w:r>
        <w:t xml:space="preserve">uvenile survival </w:t>
      </w:r>
      <w:r w:rsidR="001F5BDB">
        <w:t xml:space="preserve">among </w:t>
      </w:r>
      <w:r w:rsidR="003361CC">
        <w:t>bays and</w:t>
      </w:r>
      <w:r>
        <w:t xml:space="preserve"> cohort</w:t>
      </w:r>
      <w:r w:rsidR="003361CC">
        <w:t xml:space="preserve">s </w:t>
      </w:r>
      <w:r>
        <w:t>indicate that carryover effects are</w:t>
      </w:r>
      <w:r w:rsidR="003361CC">
        <w:t xml:space="preserve"> dependent upon the environment and</w:t>
      </w:r>
      <w:r>
        <w:t xml:space="preserve"> </w:t>
      </w:r>
      <w:proofErr w:type="gramStart"/>
      <w:r>
        <w:t>genotyp</w:t>
      </w:r>
      <w:r w:rsidR="003361CC">
        <w:t>e</w:t>
      </w:r>
      <w:r>
        <w:t>, and</w:t>
      </w:r>
      <w:proofErr w:type="gramEnd"/>
      <w:r>
        <w:t xml:space="preserve"> reinforce the importance of using multiple sources of test organisms in stress-response studies. </w:t>
      </w:r>
    </w:p>
    <w:p w14:paraId="4D7800DA" w14:textId="77777777" w:rsidR="00D64A77" w:rsidRDefault="001554ED" w:rsidP="00C56A3D">
      <w:pPr>
        <w:spacing w:line="480" w:lineRule="auto"/>
        <w:rPr>
          <w:b/>
        </w:rPr>
      </w:pPr>
      <w:r>
        <w:rPr>
          <w:b/>
        </w:rPr>
        <w:t>Reproduction</w:t>
      </w:r>
    </w:p>
    <w:p w14:paraId="6D1EB94B" w14:textId="08499EAA" w:rsidR="00CD315A" w:rsidRDefault="001554ED" w:rsidP="00620AFD">
      <w:pPr>
        <w:spacing w:line="480" w:lineRule="auto"/>
      </w:pPr>
      <w:r>
        <w:t>We expected elevated winter temperature to reduce fecundity, based on predictions that changes to reproductive quiescence and metabolism would be deleterious to spring reproduction. Counter to this prediction, warm winter temperature positively affected larval production</w:t>
      </w:r>
      <w:r w:rsidR="00AA4350">
        <w:t xml:space="preserve">. </w:t>
      </w:r>
      <w:r>
        <w:t>Oysters in elevated temperature contained more developed male gametes after treatment, and subsequently began releasing larvae earlier and produced more larvae per day</w:t>
      </w:r>
      <w:r w:rsidR="00001F4D">
        <w:t xml:space="preserve"> </w:t>
      </w:r>
      <w:r>
        <w:t>compared to cold-treated oysters.</w:t>
      </w:r>
      <w:r w:rsidR="00AA4350">
        <w:t xml:space="preserve"> </w:t>
      </w:r>
      <w:r>
        <w:t xml:space="preserve">We find no evidence that cold winters are critical for spring reproduction, but rather </w:t>
      </w:r>
      <w:r>
        <w:lastRenderedPageBreak/>
        <w:t xml:space="preserve">elevated winter temperature may elongate the </w:t>
      </w:r>
      <w:r>
        <w:rPr>
          <w:i/>
        </w:rPr>
        <w:t xml:space="preserve">O. </w:t>
      </w:r>
      <w:proofErr w:type="spellStart"/>
      <w:r>
        <w:rPr>
          <w:i/>
        </w:rPr>
        <w:t>lurida</w:t>
      </w:r>
      <w:proofErr w:type="spellEnd"/>
      <w:r>
        <w:t xml:space="preserve"> spawning season.</w:t>
      </w:r>
      <w:r w:rsidR="00770B29">
        <w:t xml:space="preserve"> In comparison, a 29-year dataset of </w:t>
      </w:r>
      <w:r w:rsidR="00770B29">
        <w:rPr>
          <w:i/>
        </w:rPr>
        <w:t xml:space="preserve">M. </w:t>
      </w:r>
      <w:proofErr w:type="spellStart"/>
      <w:r w:rsidR="00770B29">
        <w:rPr>
          <w:i/>
        </w:rPr>
        <w:t>balthica</w:t>
      </w:r>
      <w:proofErr w:type="spellEnd"/>
      <w:r w:rsidR="00770B29">
        <w:rPr>
          <w:i/>
        </w:rPr>
        <w:t xml:space="preserve"> </w:t>
      </w:r>
      <w:r w:rsidR="00770B29">
        <w:t xml:space="preserve">reproduction showed that as winter temperature increased, spring spawning began earlier and fecundity declined </w:t>
      </w:r>
      <w:hyperlink r:id="rId100">
        <w:r w:rsidR="00770B29">
          <w:rPr>
            <w:color w:val="000000"/>
          </w:rPr>
          <w:t>(</w:t>
        </w:r>
        <w:proofErr w:type="spellStart"/>
        <w:r w:rsidR="00770B29">
          <w:rPr>
            <w:color w:val="000000"/>
          </w:rPr>
          <w:t>Philippart</w:t>
        </w:r>
        <w:proofErr w:type="spellEnd"/>
        <w:r w:rsidR="00770B29">
          <w:rPr>
            <w:color w:val="000000"/>
          </w:rPr>
          <w:t xml:space="preserve"> </w:t>
        </w:r>
      </w:hyperlink>
      <w:hyperlink r:id="rId101">
        <w:r w:rsidR="00770B29">
          <w:rPr>
            <w:i/>
            <w:color w:val="000000"/>
          </w:rPr>
          <w:t>et al.</w:t>
        </w:r>
      </w:hyperlink>
      <w:hyperlink r:id="rId102">
        <w:r w:rsidR="00770B29">
          <w:rPr>
            <w:color w:val="000000"/>
          </w:rPr>
          <w:t>, 2003)</w:t>
        </w:r>
      </w:hyperlink>
      <w:r w:rsidR="00770B29">
        <w:t xml:space="preserve">. </w:t>
      </w:r>
      <w:r w:rsidR="00001F4D">
        <w:t>However, t</w:t>
      </w:r>
      <w:r>
        <w:t>h</w:t>
      </w:r>
      <w:r w:rsidR="00C00CD5">
        <w:t>e present</w:t>
      </w:r>
      <w:r>
        <w:t xml:space="preserve"> study was conducted </w:t>
      </w:r>
      <w:r w:rsidR="00770B29">
        <w:t xml:space="preserve">in </w:t>
      </w:r>
      <w:r w:rsidR="00291234">
        <w:t>a</w:t>
      </w:r>
      <w:r>
        <w:t xml:space="preserve"> hatchery</w:t>
      </w:r>
      <w:r w:rsidR="00291234">
        <w:t xml:space="preserve"> setting</w:t>
      </w:r>
      <w:r w:rsidR="00770B29">
        <w:t>,</w:t>
      </w:r>
      <w:r>
        <w:t xml:space="preserve"> with ample phytoplankton</w:t>
      </w:r>
      <w:r w:rsidR="00770B29">
        <w:t xml:space="preserve">, and </w:t>
      </w:r>
      <w:r>
        <w:t xml:space="preserve">did result in a temperature shift </w:t>
      </w:r>
      <w:r w:rsidR="00770B29">
        <w:t>during spawning. I</w:t>
      </w:r>
      <w:r>
        <w:t xml:space="preserve">n the wild numerous additional abiotic and biotic factors will contribute to </w:t>
      </w:r>
      <w:r>
        <w:rPr>
          <w:i/>
        </w:rPr>
        <w:t xml:space="preserve">O. </w:t>
      </w:r>
      <w:proofErr w:type="spellStart"/>
      <w:r>
        <w:rPr>
          <w:i/>
        </w:rPr>
        <w:t>lurida</w:t>
      </w:r>
      <w:proofErr w:type="spellEnd"/>
      <w:r>
        <w:t xml:space="preserve"> fitness, and warmer winters may result in earlier and longer reproductive seasons only if nutritional requirements are met.</w:t>
      </w:r>
      <w:r w:rsidR="00444007">
        <w:t xml:space="preserve"> </w:t>
      </w:r>
      <w:r>
        <w:t xml:space="preserve">Whether larvae released earlier in the spring can survive to recruitment will greatly depend on many </w:t>
      </w:r>
      <w:r w:rsidR="00C00CD5">
        <w:t xml:space="preserve">factors </w:t>
      </w:r>
      <w:r>
        <w:t>including food availability and predation.</w:t>
      </w:r>
      <w:r w:rsidR="00CD315A">
        <w:t xml:space="preserve"> Those modeling larval recruitment </w:t>
      </w:r>
      <w:r w:rsidR="00916D8D">
        <w:t>(</w:t>
      </w:r>
      <w:r w:rsidR="00916D8D" w:rsidRPr="00916D8D">
        <w:rPr>
          <w:i/>
        </w:rPr>
        <w:t>e.g.</w:t>
      </w:r>
      <w:r w:rsidR="00916D8D">
        <w:t xml:space="preserve"> Kimbro, White &amp; </w:t>
      </w:r>
      <w:proofErr w:type="spellStart"/>
      <w:r w:rsidR="00916D8D">
        <w:t>Grosholz</w:t>
      </w:r>
      <w:proofErr w:type="spellEnd"/>
      <w:r w:rsidR="00916D8D">
        <w:t xml:space="preserve">, 2019; Wasson </w:t>
      </w:r>
      <w:r w:rsidR="00916D8D" w:rsidRPr="001107F5">
        <w:rPr>
          <w:i/>
        </w:rPr>
        <w:t>et al</w:t>
      </w:r>
      <w:r w:rsidR="00916D8D">
        <w:t xml:space="preserve">., 2016) </w:t>
      </w:r>
      <w:r w:rsidR="00CD315A">
        <w:t xml:space="preserve">should consider including winter temperature as a </w:t>
      </w:r>
      <w:r w:rsidR="00916D8D">
        <w:t xml:space="preserve">factor influencing spatiotemporal recruitment patterns. </w:t>
      </w:r>
    </w:p>
    <w:p w14:paraId="267F481A" w14:textId="7365558B" w:rsidR="00D64A77" w:rsidRDefault="001554ED" w:rsidP="00C56A3D">
      <w:pPr>
        <w:spacing w:line="480" w:lineRule="auto"/>
        <w:ind w:firstLine="720"/>
      </w:pPr>
      <w:r>
        <w:t>We predicted that high pCO</w:t>
      </w:r>
      <w:r>
        <w:rPr>
          <w:vertAlign w:val="subscript"/>
        </w:rPr>
        <w:t>2</w:t>
      </w:r>
      <w:r>
        <w:t xml:space="preserve"> exposure would redirect energy away from storage to maintenance processes, resulting in delayed gametogenesis and poor fecundity in the spring. After exposure to 3045 µ</w:t>
      </w:r>
      <w:proofErr w:type="spellStart"/>
      <w:r>
        <w:t>atm</w:t>
      </w:r>
      <w:proofErr w:type="spellEnd"/>
      <w:r>
        <w:t xml:space="preserve"> pCO</w:t>
      </w:r>
      <w:r>
        <w:rPr>
          <w:vertAlign w:val="subscript"/>
        </w:rPr>
        <w:t xml:space="preserve">2 </w:t>
      </w:r>
      <w:r>
        <w:t>(pH 7.31), fewer oysters contained ripe or advanced male gonad tissue than in ambient pCO</w:t>
      </w:r>
      <w:r>
        <w:rPr>
          <w:vertAlign w:val="subscript"/>
        </w:rPr>
        <w:t>2</w:t>
      </w:r>
      <w:r>
        <w:t>, signaling reduced spermatogenic activity. Female gonad, sex ratios, and subsequent fecundity were not affected by sole exposure to high pCO</w:t>
      </w:r>
      <w:r>
        <w:rPr>
          <w:vertAlign w:val="subscript"/>
        </w:rPr>
        <w:t>2</w:t>
      </w:r>
      <w:r>
        <w:t>. Similar impacts on gametogenesis during exposure were observed in the Sydney rock (</w:t>
      </w:r>
      <w:r>
        <w:rPr>
          <w:i/>
        </w:rPr>
        <w:t xml:space="preserve">S. </w:t>
      </w:r>
      <w:proofErr w:type="spellStart"/>
      <w:r>
        <w:rPr>
          <w:i/>
        </w:rPr>
        <w:t>glomerata</w:t>
      </w:r>
      <w:proofErr w:type="spellEnd"/>
      <w:r>
        <w:t>) and Eastern (</w:t>
      </w:r>
      <w:r>
        <w:rPr>
          <w:i/>
        </w:rPr>
        <w:t>C. virginica</w:t>
      </w:r>
      <w:r>
        <w:t>) oysters, but with varying pCO</w:t>
      </w:r>
      <w:r>
        <w:rPr>
          <w:vertAlign w:val="subscript"/>
        </w:rPr>
        <w:t>2</w:t>
      </w:r>
      <w:r>
        <w:t xml:space="preserve"> thresholds. Parker </w:t>
      </w:r>
      <w:r>
        <w:rPr>
          <w:i/>
        </w:rPr>
        <w:t xml:space="preserve">et al. </w:t>
      </w:r>
      <w:r>
        <w:t xml:space="preserve">(2018) found </w:t>
      </w:r>
      <w:r>
        <w:rPr>
          <w:i/>
        </w:rPr>
        <w:t xml:space="preserve">S. </w:t>
      </w:r>
      <w:proofErr w:type="spellStart"/>
      <w:r>
        <w:rPr>
          <w:i/>
        </w:rPr>
        <w:t>glomerata</w:t>
      </w:r>
      <w:proofErr w:type="spellEnd"/>
      <w:r>
        <w:rPr>
          <w:i/>
        </w:rPr>
        <w:t xml:space="preserve"> </w:t>
      </w:r>
      <w:r>
        <w:t>gametogenesis to slow in 856 µ</w:t>
      </w:r>
      <w:proofErr w:type="spellStart"/>
      <w:r>
        <w:t>atm</w:t>
      </w:r>
      <w:proofErr w:type="spellEnd"/>
      <w:r>
        <w:t xml:space="preserve"> (pH 7.91), and Boulais</w:t>
      </w:r>
      <w:r>
        <w:rPr>
          <w:i/>
        </w:rPr>
        <w:t xml:space="preserve"> et al.</w:t>
      </w:r>
      <w:r>
        <w:t xml:space="preserve"> (2017) found normal rates at 2260 µ</w:t>
      </w:r>
      <w:proofErr w:type="spellStart"/>
      <w:r>
        <w:t>atm</w:t>
      </w:r>
      <w:proofErr w:type="spellEnd"/>
      <w:r>
        <w:t xml:space="preserve"> (pH 7.5), delay at 5584 µ</w:t>
      </w:r>
      <w:proofErr w:type="spellStart"/>
      <w:r>
        <w:t>atm</w:t>
      </w:r>
      <w:proofErr w:type="spellEnd"/>
      <w:r>
        <w:t xml:space="preserve"> (pH 7.1), and full inhibition at 18480 µ</w:t>
      </w:r>
      <w:proofErr w:type="spellStart"/>
      <w:r>
        <w:t>atm</w:t>
      </w:r>
      <w:proofErr w:type="spellEnd"/>
      <w:r>
        <w:t xml:space="preserve"> (pH 6.9) in </w:t>
      </w:r>
      <w:r>
        <w:rPr>
          <w:i/>
        </w:rPr>
        <w:t>C. virginica</w:t>
      </w:r>
      <w:r>
        <w:t>. Together, these studies indicate that high pCO</w:t>
      </w:r>
      <w:r>
        <w:rPr>
          <w:vertAlign w:val="subscript"/>
        </w:rPr>
        <w:t>2</w:t>
      </w:r>
      <w:r>
        <w:t xml:space="preserve"> slows the rate of gametogenesis, but the level at which pCO</w:t>
      </w:r>
      <w:r>
        <w:rPr>
          <w:vertAlign w:val="subscript"/>
        </w:rPr>
        <w:t>2</w:t>
      </w:r>
      <w:r>
        <w:t xml:space="preserve"> affects gametogenesis appears species-specific, and likely reflective of</w:t>
      </w:r>
      <w:r w:rsidR="009A5968">
        <w:t xml:space="preserve"> </w:t>
      </w:r>
      <w:r>
        <w:t xml:space="preserve">variable physiological mechanisms and reproductive strategies. </w:t>
      </w:r>
    </w:p>
    <w:p w14:paraId="48423608" w14:textId="4D40842E" w:rsidR="00807D49" w:rsidRPr="00807D49" w:rsidRDefault="001554ED" w:rsidP="00E808F8">
      <w:pPr>
        <w:spacing w:line="480" w:lineRule="auto"/>
        <w:ind w:firstLine="720"/>
      </w:pPr>
      <w:r>
        <w:lastRenderedPageBreak/>
        <w:t xml:space="preserve">The combined effects of sequential </w:t>
      </w:r>
      <w:r w:rsidR="009A5968">
        <w:t>elevated temperature</w:t>
      </w:r>
      <w:r>
        <w:t xml:space="preserve"> and pCO</w:t>
      </w:r>
      <w:r>
        <w:rPr>
          <w:vertAlign w:val="subscript"/>
        </w:rPr>
        <w:t>2</w:t>
      </w:r>
      <w:r>
        <w:t xml:space="preserve"> treatments did not act synergistically to delay gonad development, but instead resulted in oysters with gonad stage and fecundity no different from the untreated oysters. Similarly, combined simultaneous temperature and high pCO</w:t>
      </w:r>
      <w:r>
        <w:rPr>
          <w:vertAlign w:val="subscript"/>
        </w:rPr>
        <w:t>2</w:t>
      </w:r>
      <w:r>
        <w:t xml:space="preserve"> exposures did not affect </w:t>
      </w:r>
      <w:r>
        <w:rPr>
          <w:i/>
        </w:rPr>
        <w:t xml:space="preserve">S. </w:t>
      </w:r>
      <w:proofErr w:type="spellStart"/>
      <w:r>
        <w:rPr>
          <w:i/>
        </w:rPr>
        <w:t>glomerata</w:t>
      </w:r>
      <w:proofErr w:type="spellEnd"/>
      <w:r>
        <w:t xml:space="preserve"> fecundity </w:t>
      </w:r>
      <w:hyperlink r:id="rId103">
        <w:r>
          <w:rPr>
            <w:color w:val="000000"/>
          </w:rPr>
          <w:t>(Parker</w:t>
        </w:r>
      </w:hyperlink>
      <w:hyperlink r:id="rId104">
        <w:r>
          <w:rPr>
            <w:i/>
            <w:color w:val="000000"/>
          </w:rPr>
          <w:t xml:space="preserve"> et al.</w:t>
        </w:r>
      </w:hyperlink>
      <w:hyperlink r:id="rId105">
        <w:r>
          <w:rPr>
            <w:color w:val="000000"/>
          </w:rPr>
          <w:t>, 2018)</w:t>
        </w:r>
      </w:hyperlink>
      <w:r>
        <w:t>.</w:t>
      </w:r>
      <w:r w:rsidR="00196D05">
        <w:t xml:space="preserve"> </w:t>
      </w:r>
      <w:r>
        <w:t>We did detect a pCO</w:t>
      </w:r>
      <w:r>
        <w:rPr>
          <w:vertAlign w:val="subscript"/>
        </w:rPr>
        <w:t>2</w:t>
      </w:r>
      <w:r>
        <w:t xml:space="preserve"> dependent effect of temperature on the average number of larvae released per day. Oysters that had previously been exposed to 10°C produced more larvae than 6°C, but only after ambient pCO</w:t>
      </w:r>
      <w:r>
        <w:rPr>
          <w:vertAlign w:val="subscript"/>
        </w:rPr>
        <w:t>2</w:t>
      </w:r>
      <w:r>
        <w:t xml:space="preserve"> exposure, which may reflect a general reproductive arrest that occurs when exposed to high pCO</w:t>
      </w:r>
      <w:r>
        <w:rPr>
          <w:vertAlign w:val="subscript"/>
        </w:rPr>
        <w:t>2</w:t>
      </w:r>
      <w:r>
        <w:t xml:space="preserve">. </w:t>
      </w:r>
      <w:r w:rsidR="00196D05">
        <w:rPr>
          <w:color w:val="000000"/>
        </w:rPr>
        <w:t>Despite experimental differences (</w:t>
      </w:r>
      <w:r w:rsidR="00807D49">
        <w:rPr>
          <w:i/>
          <w:color w:val="000000"/>
        </w:rPr>
        <w:t xml:space="preserve">e.g. </w:t>
      </w:r>
      <w:r w:rsidR="00196D05">
        <w:rPr>
          <w:color w:val="000000"/>
        </w:rPr>
        <w:t>sequential vs. simultaneous</w:t>
      </w:r>
      <w:r w:rsidR="00F81D43">
        <w:rPr>
          <w:color w:val="000000"/>
        </w:rPr>
        <w:t xml:space="preserve"> exposures</w:t>
      </w:r>
      <w:r w:rsidR="00196D05">
        <w:rPr>
          <w:color w:val="000000"/>
        </w:rPr>
        <w:t xml:space="preserve">) which </w:t>
      </w:r>
      <w:r w:rsidR="00F81D43">
        <w:rPr>
          <w:color w:val="000000"/>
        </w:rPr>
        <w:t>can</w:t>
      </w:r>
      <w:r w:rsidR="00807D49">
        <w:rPr>
          <w:color w:val="000000"/>
        </w:rPr>
        <w:t xml:space="preserve"> influence</w:t>
      </w:r>
      <w:r w:rsidR="00196D05">
        <w:rPr>
          <w:color w:val="000000"/>
        </w:rPr>
        <w:t xml:space="preserve"> outcomes (Bible </w:t>
      </w:r>
      <w:r w:rsidR="00196D05">
        <w:rPr>
          <w:i/>
          <w:color w:val="000000"/>
        </w:rPr>
        <w:t xml:space="preserve">et al. </w:t>
      </w:r>
      <w:r w:rsidR="00196D05">
        <w:rPr>
          <w:color w:val="000000"/>
        </w:rPr>
        <w:t xml:space="preserve">2017), </w:t>
      </w:r>
      <w:r w:rsidR="00F81D43">
        <w:t xml:space="preserve">both Parker </w:t>
      </w:r>
      <w:r w:rsidR="00F81D43" w:rsidRPr="00C41595">
        <w:rPr>
          <w:i/>
        </w:rPr>
        <w:t>et al</w:t>
      </w:r>
      <w:r w:rsidR="00F81D43">
        <w:t xml:space="preserve">. (2018) and the present study </w:t>
      </w:r>
      <w:r>
        <w:t>indicate that high pCO</w:t>
      </w:r>
      <w:r>
        <w:rPr>
          <w:vertAlign w:val="subscript"/>
        </w:rPr>
        <w:t>2</w:t>
      </w:r>
      <w:r>
        <w:t xml:space="preserve"> slows gametogenesis, elevated temperature accelerates it, and these two environmental drivers act antagonistically on gonad development if occurring in the same reproductive season. </w:t>
      </w:r>
      <w:r w:rsidR="00807D49">
        <w:t xml:space="preserve">An important factor not included in either study is ecologically relevant </w:t>
      </w:r>
      <w:r w:rsidR="00707E7B">
        <w:t>variability</w:t>
      </w:r>
      <w:r w:rsidR="00F81D43">
        <w:t xml:space="preserve">. </w:t>
      </w:r>
      <w:r w:rsidR="00444007">
        <w:t>T</w:t>
      </w:r>
      <w:r w:rsidR="00807D49" w:rsidRPr="00807D49">
        <w:t>emperature and p</w:t>
      </w:r>
      <w:r w:rsidR="00807D49">
        <w:t>CO</w:t>
      </w:r>
      <w:r w:rsidR="00807D49" w:rsidRPr="00E808F8">
        <w:rPr>
          <w:vertAlign w:val="subscript"/>
        </w:rPr>
        <w:t>2</w:t>
      </w:r>
      <w:r w:rsidR="00F81D43">
        <w:rPr>
          <w:vertAlign w:val="subscript"/>
        </w:rPr>
        <w:t xml:space="preserve"> </w:t>
      </w:r>
      <w:r w:rsidR="00444007">
        <w:t>oscillations</w:t>
      </w:r>
      <w:r w:rsidR="00807D49" w:rsidRPr="00807D49">
        <w:t>, driven by tid</w:t>
      </w:r>
      <w:r w:rsidR="00F81D43">
        <w:t xml:space="preserve">es </w:t>
      </w:r>
      <w:r w:rsidR="00807D49" w:rsidRPr="00807D49">
        <w:t xml:space="preserve">and diurnal </w:t>
      </w:r>
      <w:r w:rsidR="00F81D43">
        <w:t>photosynthesis</w:t>
      </w:r>
      <w:r w:rsidR="00807D49" w:rsidRPr="00807D49">
        <w:t xml:space="preserve">, could offer daily refuge </w:t>
      </w:r>
      <w:r w:rsidR="00807D49">
        <w:t>or</w:t>
      </w:r>
      <w:r w:rsidR="00807D49" w:rsidRPr="00807D49">
        <w:t xml:space="preserve"> expose oysters to dynamic change</w:t>
      </w:r>
      <w:r w:rsidR="00807D49">
        <w:t>s</w:t>
      </w:r>
      <w:r w:rsidR="00F81D43">
        <w:t xml:space="preserve">, </w:t>
      </w:r>
      <w:r w:rsidR="008C3D16">
        <w:t>alter</w:t>
      </w:r>
      <w:r w:rsidR="00F92CA2">
        <w:t>ing</w:t>
      </w:r>
      <w:r w:rsidR="00F81D43">
        <w:t xml:space="preserve"> how combined stressors interact (Cheng </w:t>
      </w:r>
      <w:r w:rsidR="00F81D43" w:rsidRPr="00C41595">
        <w:rPr>
          <w:i/>
        </w:rPr>
        <w:t>et al</w:t>
      </w:r>
      <w:r w:rsidR="00F81D43">
        <w:t>. 2015)</w:t>
      </w:r>
      <w:r w:rsidR="008C3D16">
        <w:t>.</w:t>
      </w:r>
    </w:p>
    <w:p w14:paraId="515D69B7" w14:textId="74991112" w:rsidR="00D64A77" w:rsidRDefault="001554ED" w:rsidP="00C56A3D">
      <w:pPr>
        <w:spacing w:line="480" w:lineRule="auto"/>
        <w:ind w:firstLine="720"/>
      </w:pPr>
      <w:r>
        <w:t>In contrast to prior studies, temperature and pCO</w:t>
      </w:r>
      <w:r>
        <w:rPr>
          <w:vertAlign w:val="subscript"/>
        </w:rPr>
        <w:t xml:space="preserve">2 </w:t>
      </w:r>
      <w:r>
        <w:t xml:space="preserve">did not impact </w:t>
      </w:r>
      <w:r>
        <w:rPr>
          <w:i/>
        </w:rPr>
        <w:t xml:space="preserve">O. </w:t>
      </w:r>
      <w:proofErr w:type="spellStart"/>
      <w:r>
        <w:rPr>
          <w:i/>
        </w:rPr>
        <w:t>lurida</w:t>
      </w:r>
      <w:proofErr w:type="spellEnd"/>
      <w:r>
        <w:t xml:space="preserve"> sex ratios, whereas in high pCO</w:t>
      </w:r>
      <w:r>
        <w:rPr>
          <w:vertAlign w:val="subscript"/>
        </w:rPr>
        <w:t>2</w:t>
      </w:r>
      <w:r>
        <w:t xml:space="preserve"> </w:t>
      </w:r>
      <w:r>
        <w:rPr>
          <w:i/>
        </w:rPr>
        <w:t>C. virginica</w:t>
      </w:r>
      <w:r>
        <w:t xml:space="preserve"> skewed male </w:t>
      </w:r>
      <w:hyperlink r:id="rId106">
        <w:r>
          <w:rPr>
            <w:color w:val="000000"/>
          </w:rPr>
          <w:t xml:space="preserve">(Boulais </w:t>
        </w:r>
      </w:hyperlink>
      <w:hyperlink r:id="rId107">
        <w:r>
          <w:rPr>
            <w:i/>
            <w:color w:val="000000"/>
          </w:rPr>
          <w:t>et al.,</w:t>
        </w:r>
      </w:hyperlink>
      <w:hyperlink r:id="rId108">
        <w:r>
          <w:rPr>
            <w:color w:val="000000"/>
          </w:rPr>
          <w:t xml:space="preserve"> 2017)</w:t>
        </w:r>
      </w:hyperlink>
      <w:r>
        <w:t xml:space="preserve">, and </w:t>
      </w:r>
      <w:r>
        <w:rPr>
          <w:i/>
        </w:rPr>
        <w:t xml:space="preserve">S. </w:t>
      </w:r>
      <w:proofErr w:type="spellStart"/>
      <w:r>
        <w:rPr>
          <w:i/>
        </w:rPr>
        <w:t>glomerata</w:t>
      </w:r>
      <w:proofErr w:type="spellEnd"/>
      <w:r>
        <w:t xml:space="preserve"> skewed female </w:t>
      </w:r>
      <w:hyperlink r:id="rId109">
        <w:r>
          <w:rPr>
            <w:color w:val="000000"/>
          </w:rPr>
          <w:t>(Parker</w:t>
        </w:r>
      </w:hyperlink>
      <w:hyperlink r:id="rId110">
        <w:r>
          <w:rPr>
            <w:i/>
            <w:color w:val="000000"/>
          </w:rPr>
          <w:t xml:space="preserve"> et al.</w:t>
        </w:r>
      </w:hyperlink>
      <w:hyperlink r:id="rId111">
        <w:r>
          <w:rPr>
            <w:color w:val="000000"/>
          </w:rPr>
          <w:t>, 2018)</w:t>
        </w:r>
      </w:hyperlink>
      <w:r>
        <w:t xml:space="preserve">. This observation may be explained by very low incidence of total reproductive inactivity in our </w:t>
      </w:r>
      <w:r>
        <w:rPr>
          <w:i/>
        </w:rPr>
        <w:t xml:space="preserve">O. </w:t>
      </w:r>
      <w:proofErr w:type="spellStart"/>
      <w:r>
        <w:rPr>
          <w:i/>
        </w:rPr>
        <w:t>lurida</w:t>
      </w:r>
      <w:proofErr w:type="spellEnd"/>
      <w:r>
        <w:t xml:space="preserve"> cohorts — only four out of the 108 oysters that were sampled prior to pCO</w:t>
      </w:r>
      <w:r>
        <w:rPr>
          <w:vertAlign w:val="subscript"/>
        </w:rPr>
        <w:t>2</w:t>
      </w:r>
      <w:r>
        <w:t xml:space="preserve"> treatment contained empty follicles — and thus sex ratios may be different if pCO</w:t>
      </w:r>
      <w:r>
        <w:rPr>
          <w:vertAlign w:val="subscript"/>
        </w:rPr>
        <w:t>2</w:t>
      </w:r>
      <w:r>
        <w:t xml:space="preserve"> exposure occurs earlier in life during initial sex differentiation. Furthermore, high pCO</w:t>
      </w:r>
      <w:r>
        <w:rPr>
          <w:vertAlign w:val="subscript"/>
        </w:rPr>
        <w:t>2</w:t>
      </w:r>
      <w:r>
        <w:t xml:space="preserve"> exposure only occurred in winter, prior to spawning. If high pCO</w:t>
      </w:r>
      <w:r>
        <w:rPr>
          <w:vertAlign w:val="subscript"/>
        </w:rPr>
        <w:t>2</w:t>
      </w:r>
      <w:r>
        <w:t xml:space="preserve"> persists during oocyte maturation and spawning, </w:t>
      </w:r>
      <w:r>
        <w:rPr>
          <w:i/>
        </w:rPr>
        <w:t xml:space="preserve">O. </w:t>
      </w:r>
      <w:proofErr w:type="spellStart"/>
      <w:r>
        <w:rPr>
          <w:i/>
        </w:rPr>
        <w:t>lurida</w:t>
      </w:r>
      <w:proofErr w:type="spellEnd"/>
      <w:r>
        <w:t xml:space="preserve"> fecundity may be reduced similar to </w:t>
      </w:r>
      <w:r>
        <w:rPr>
          <w:i/>
        </w:rPr>
        <w:t xml:space="preserve">C. virginica </w:t>
      </w:r>
      <w:r>
        <w:t xml:space="preserve">and </w:t>
      </w:r>
      <w:r>
        <w:rPr>
          <w:i/>
        </w:rPr>
        <w:lastRenderedPageBreak/>
        <w:t xml:space="preserve">S. </w:t>
      </w:r>
      <w:proofErr w:type="spellStart"/>
      <w:r>
        <w:rPr>
          <w:i/>
        </w:rPr>
        <w:t>glomerata</w:t>
      </w:r>
      <w:proofErr w:type="spellEnd"/>
      <w:r>
        <w:rPr>
          <w:i/>
        </w:rPr>
        <w:t>.</w:t>
      </w:r>
      <w:r>
        <w:t xml:space="preserve"> Future research should examine </w:t>
      </w:r>
      <w:r>
        <w:rPr>
          <w:i/>
        </w:rPr>
        <w:t xml:space="preserve">O. </w:t>
      </w:r>
      <w:proofErr w:type="spellStart"/>
      <w:r>
        <w:rPr>
          <w:i/>
        </w:rPr>
        <w:t>lurida</w:t>
      </w:r>
      <w:proofErr w:type="spellEnd"/>
      <w:r>
        <w:t xml:space="preserve"> </w:t>
      </w:r>
      <w:r w:rsidR="00A73230">
        <w:t xml:space="preserve">sexual development </w:t>
      </w:r>
      <w:r w:rsidR="00707E7B">
        <w:t>during the initial switch from male to female</w:t>
      </w:r>
      <w:r w:rsidR="00A73230">
        <w:t xml:space="preserve">, which can occur the first winter after settlement (Moore </w:t>
      </w:r>
      <w:r w:rsidR="00A73230" w:rsidRPr="00E808F8">
        <w:rPr>
          <w:i/>
        </w:rPr>
        <w:t>et al.</w:t>
      </w:r>
      <w:r w:rsidR="00A73230">
        <w:t xml:space="preserve">, 2016), and </w:t>
      </w:r>
      <w:r>
        <w:t>across a range of pCO</w:t>
      </w:r>
      <w:r>
        <w:rPr>
          <w:vertAlign w:val="subscript"/>
        </w:rPr>
        <w:t xml:space="preserve">2 </w:t>
      </w:r>
      <w:r>
        <w:t>to determine conditions in which gametogenesis and sex determination are affected.</w:t>
      </w:r>
      <w:r w:rsidR="008D6A01">
        <w:t xml:space="preserve"> </w:t>
      </w:r>
    </w:p>
    <w:p w14:paraId="07AD7583" w14:textId="2BEC067E" w:rsidR="00D64A77" w:rsidRDefault="00D64A77" w:rsidP="00C56A3D">
      <w:pPr>
        <w:suppressLineNumbers/>
        <w:spacing w:line="480" w:lineRule="auto"/>
        <w:rPr>
          <w:b/>
        </w:rPr>
      </w:pPr>
    </w:p>
    <w:p w14:paraId="2481E8E0" w14:textId="77777777" w:rsidR="00D64A77" w:rsidRDefault="001554ED" w:rsidP="00C56A3D">
      <w:pPr>
        <w:spacing w:line="480" w:lineRule="auto"/>
      </w:pPr>
      <w:r>
        <w:rPr>
          <w:b/>
        </w:rPr>
        <w:t>Offspring</w:t>
      </w:r>
    </w:p>
    <w:p w14:paraId="26CF9B64" w14:textId="44ED9855" w:rsidR="00D64A77" w:rsidRDefault="001554ED" w:rsidP="00620AFD">
      <w:pPr>
        <w:spacing w:line="480" w:lineRule="auto"/>
      </w:pPr>
      <w:r>
        <w:t xml:space="preserve">Abiotic parental stressors can be beneficial, neutral, or detrimental to offspring viability </w:t>
      </w:r>
      <w:hyperlink r:id="rId112">
        <w:r>
          <w:rPr>
            <w:color w:val="000000"/>
          </w:rPr>
          <w:t xml:space="preserve">(Donelson </w:t>
        </w:r>
      </w:hyperlink>
      <w:hyperlink r:id="rId113">
        <w:r>
          <w:rPr>
            <w:i/>
            <w:color w:val="000000"/>
          </w:rPr>
          <w:t>et al.,</w:t>
        </w:r>
      </w:hyperlink>
      <w:hyperlink r:id="rId114">
        <w:r>
          <w:rPr>
            <w:color w:val="000000"/>
          </w:rPr>
          <w:t xml:space="preserve"> 2018)</w:t>
        </w:r>
      </w:hyperlink>
      <w:r>
        <w:t>. We explored carryover effects of adult exposure to winter pCO</w:t>
      </w:r>
      <w:r>
        <w:rPr>
          <w:vertAlign w:val="subscript"/>
        </w:rPr>
        <w:t>2</w:t>
      </w:r>
      <w:r>
        <w:t xml:space="preserve"> on offspring by testing survival in the field. Offspring with high pCO</w:t>
      </w:r>
      <w:r>
        <w:rPr>
          <w:vertAlign w:val="subscript"/>
        </w:rPr>
        <w:t xml:space="preserve">2 </w:t>
      </w:r>
      <w:r>
        <w:t xml:space="preserve">parental histories performed better in two of four locations, </w:t>
      </w:r>
      <w:proofErr w:type="spellStart"/>
      <w:r>
        <w:t>Fidalgo</w:t>
      </w:r>
      <w:proofErr w:type="spellEnd"/>
      <w:r>
        <w:t xml:space="preserve"> Bay and Port Gamble Bay. Carryover effects of parental high pCO</w:t>
      </w:r>
      <w:r>
        <w:rPr>
          <w:vertAlign w:val="subscript"/>
        </w:rPr>
        <w:t xml:space="preserve">2 </w:t>
      </w:r>
      <w:r>
        <w:t xml:space="preserve">exposure may therefore be neutral, or beneficial, to offspring depending on the environmental conditions. Port Gamble Bay and </w:t>
      </w:r>
      <w:proofErr w:type="spellStart"/>
      <w:r>
        <w:t>Fidalgo</w:t>
      </w:r>
      <w:proofErr w:type="spellEnd"/>
      <w:r>
        <w:t xml:space="preserve"> Bay are more influenced by oceanic waters, which could explain cooler observed temperatures. These locations are also typically less stratified than the Skokomish River Delta and Case Inlet. In Port Gamble Bay, where pCO</w:t>
      </w:r>
      <w:r>
        <w:rPr>
          <w:vertAlign w:val="subscript"/>
        </w:rPr>
        <w:t>2</w:t>
      </w:r>
      <w:r>
        <w:t xml:space="preserve"> parental history most significantly correlated with offspring survival across cohorts, mean pH was considerably lower than the other deployment locations (-0.17 pH units), and mean salinity was higher (+3.8 PSU). Given the experimental design we are able to clearly demonstrate that manifestation of carryover effects in Olympia oysters is dependent on environmental conditions.  Specifically, there is a greater likelihood of beneficial carryover effects when parents are exposed to stressful conditions. Overall, carryover effects of parental </w:t>
      </w:r>
      <w:r w:rsidR="00BC3B99">
        <w:t>p</w:t>
      </w:r>
      <w:r>
        <w:t>CO</w:t>
      </w:r>
      <w:r>
        <w:rPr>
          <w:vertAlign w:val="subscript"/>
        </w:rPr>
        <w:t xml:space="preserve">2 </w:t>
      </w:r>
      <w:r>
        <w:t xml:space="preserve">treatment were positive, however negative effects were observed in the O-2 cohort. This discrepancy could relate to unique O-2 juvenile characteristics, as they were bred from siblings, </w:t>
      </w:r>
      <w:r w:rsidR="00187B8D">
        <w:t xml:space="preserve">and </w:t>
      </w:r>
      <w:r>
        <w:t xml:space="preserve">were 3rd-generation hatchery produced. The complex interactions among parental exposure, bay, and </w:t>
      </w:r>
      <w:r>
        <w:lastRenderedPageBreak/>
        <w:t xml:space="preserve">cohort indicate that offspring viability is influenced by ancestral environment history, environmental conditions, and genotype. </w:t>
      </w:r>
    </w:p>
    <w:p w14:paraId="0588FFC8" w14:textId="326B07B2" w:rsidR="00D64A77" w:rsidRDefault="001554ED" w:rsidP="00C56A3D">
      <w:pPr>
        <w:spacing w:line="480" w:lineRule="auto"/>
        <w:ind w:firstLine="720"/>
      </w:pPr>
      <w:r>
        <w:t>Our results contrast</w:t>
      </w:r>
      <w:r w:rsidR="002E1EE6">
        <w:t xml:space="preserve"> with</w:t>
      </w:r>
      <w:r>
        <w:t xml:space="preserve"> a similar study that exposed </w:t>
      </w:r>
      <w:r>
        <w:rPr>
          <w:i/>
        </w:rPr>
        <w:t xml:space="preserve">C. </w:t>
      </w:r>
      <w:proofErr w:type="spellStart"/>
      <w:r>
        <w:rPr>
          <w:i/>
        </w:rPr>
        <w:t>gigas</w:t>
      </w:r>
      <w:proofErr w:type="spellEnd"/>
      <w:r>
        <w:t xml:space="preserve"> oysters to high pCO</w:t>
      </w:r>
      <w:r>
        <w:rPr>
          <w:vertAlign w:val="subscript"/>
        </w:rPr>
        <w:t>2</w:t>
      </w:r>
      <w:r>
        <w:t xml:space="preserve"> during the winter</w:t>
      </w:r>
      <w:r w:rsidR="00C00CD5">
        <w:t xml:space="preserve">, and </w:t>
      </w:r>
      <w:r>
        <w:t xml:space="preserve">found </w:t>
      </w:r>
      <w:r w:rsidR="00C00CD5">
        <w:t xml:space="preserve">fewer </w:t>
      </w:r>
      <w:r>
        <w:t>hatched larvae 18 hours post-fertilization</w:t>
      </w:r>
      <w:r w:rsidR="00C00CD5">
        <w:t xml:space="preserve"> from exposed females</w:t>
      </w:r>
      <w:r>
        <w:t xml:space="preserve">, with no discernable paternal effect </w:t>
      </w:r>
      <w:hyperlink r:id="rId115">
        <w:r>
          <w:rPr>
            <w:color w:val="000000"/>
          </w:rPr>
          <w:t>(Venkataraman</w:t>
        </w:r>
      </w:hyperlink>
      <w:hyperlink r:id="rId116">
        <w:r w:rsidR="00187B8D">
          <w:rPr>
            <w:color w:val="000000"/>
          </w:rPr>
          <w:t>, Spencer &amp; Roberts</w:t>
        </w:r>
        <w:r>
          <w:rPr>
            <w:i/>
            <w:color w:val="000000"/>
          </w:rPr>
          <w:t>,</w:t>
        </w:r>
      </w:hyperlink>
      <w:hyperlink r:id="rId117">
        <w:r w:rsidRPr="00187B8D">
          <w:rPr>
            <w:color w:val="000000"/>
          </w:rPr>
          <w:t xml:space="preserve"> </w:t>
        </w:r>
        <w:r>
          <w:rPr>
            <w:color w:val="000000"/>
          </w:rPr>
          <w:t>2019)</w:t>
        </w:r>
      </w:hyperlink>
      <w:r>
        <w:t xml:space="preserve">. Hatch rate was not directly measured in this study due to the </w:t>
      </w:r>
      <w:r>
        <w:rPr>
          <w:i/>
        </w:rPr>
        <w:t xml:space="preserve">O. </w:t>
      </w:r>
      <w:proofErr w:type="spellStart"/>
      <w:r>
        <w:rPr>
          <w:i/>
        </w:rPr>
        <w:t>lurida</w:t>
      </w:r>
      <w:proofErr w:type="spellEnd"/>
      <w:r>
        <w:t xml:space="preserve"> brooding behavior; however, no difference in daily and total larvae released suggest that hatch rate was unaffected</w:t>
      </w:r>
      <w:r w:rsidR="00187B8D">
        <w:t xml:space="preserve"> by pCO</w:t>
      </w:r>
      <w:r w:rsidR="00187B8D" w:rsidRPr="00187B8D">
        <w:rPr>
          <w:vertAlign w:val="subscript"/>
        </w:rPr>
        <w:t>2</w:t>
      </w:r>
      <w:r>
        <w:t xml:space="preserve">. The different responses </w:t>
      </w:r>
      <w:r w:rsidR="00187B8D">
        <w:t xml:space="preserve">seen in </w:t>
      </w:r>
      <w:hyperlink r:id="rId118">
        <w:r w:rsidR="00187B8D">
          <w:rPr>
            <w:color w:val="000000"/>
          </w:rPr>
          <w:t>Venkataraman</w:t>
        </w:r>
      </w:hyperlink>
      <w:hyperlink r:id="rId119">
        <w:r w:rsidR="00187B8D">
          <w:rPr>
            <w:color w:val="000000"/>
          </w:rPr>
          <w:t>, Spencer &amp; Roberts</w:t>
        </w:r>
      </w:hyperlink>
      <w:r w:rsidR="00187B8D">
        <w:rPr>
          <w:i/>
          <w:color w:val="000000"/>
        </w:rPr>
        <w:t xml:space="preserve"> </w:t>
      </w:r>
      <w:r w:rsidR="00187B8D" w:rsidRPr="00187B8D">
        <w:rPr>
          <w:color w:val="000000"/>
        </w:rPr>
        <w:t>(</w:t>
      </w:r>
      <w:hyperlink r:id="rId120">
        <w:r w:rsidR="00187B8D">
          <w:rPr>
            <w:color w:val="000000"/>
          </w:rPr>
          <w:t>2019)</w:t>
        </w:r>
      </w:hyperlink>
      <w:r w:rsidR="00187B8D">
        <w:rPr>
          <w:color w:val="000000"/>
        </w:rPr>
        <w:t xml:space="preserve"> and the present study may </w:t>
      </w:r>
      <w:r>
        <w:t xml:space="preserve">reflect variability among species and spawning method. </w:t>
      </w:r>
      <w:r w:rsidR="00187B8D" w:rsidRPr="00187B8D">
        <w:rPr>
          <w:i/>
        </w:rPr>
        <w:t xml:space="preserve">C. </w:t>
      </w:r>
      <w:proofErr w:type="spellStart"/>
      <w:r w:rsidR="00187B8D" w:rsidRPr="00187B8D">
        <w:rPr>
          <w:i/>
        </w:rPr>
        <w:t>gigas</w:t>
      </w:r>
      <w:proofErr w:type="spellEnd"/>
      <w:r w:rsidR="00187B8D">
        <w:t xml:space="preserve"> gametes were </w:t>
      </w:r>
      <w:r>
        <w:t xml:space="preserve">collected </w:t>
      </w:r>
      <w:r w:rsidR="00187B8D">
        <w:t xml:space="preserve">artificially </w:t>
      </w:r>
      <w:r>
        <w:t xml:space="preserve">by stripping gonad, whereas </w:t>
      </w:r>
      <w:r>
        <w:rPr>
          <w:i/>
        </w:rPr>
        <w:t>O</w:t>
      </w:r>
      <w:r>
        <w:t xml:space="preserve">. </w:t>
      </w:r>
      <w:proofErr w:type="spellStart"/>
      <w:r>
        <w:rPr>
          <w:i/>
        </w:rPr>
        <w:t>lurida</w:t>
      </w:r>
      <w:proofErr w:type="spellEnd"/>
      <w:r>
        <w:t xml:space="preserve"> late-stage veliger larvae were collected upon release from the brood chamber. </w:t>
      </w:r>
      <w:r w:rsidR="00A92E0E">
        <w:t>For instance, v</w:t>
      </w:r>
      <w:r w:rsidR="00501EF7">
        <w:t>olitionally-spawned gamete</w:t>
      </w:r>
      <w:r w:rsidR="00A92E0E">
        <w:t xml:space="preserve"> quality and </w:t>
      </w:r>
      <w:r w:rsidR="000A75A1">
        <w:t>fertilization rat</w:t>
      </w:r>
      <w:r w:rsidR="00A92E0E">
        <w:t xml:space="preserve">es </w:t>
      </w:r>
      <w:r w:rsidR="000A75A1">
        <w:t>could vary between the natural versus artificial setting</w:t>
      </w:r>
      <w:r w:rsidR="00A92E0E">
        <w:t>s to influence larval viability</w:t>
      </w:r>
      <w:r w:rsidR="00501EF7">
        <w:t>.</w:t>
      </w:r>
      <w:r>
        <w:t xml:space="preserve"> Larval brooding may also be a mechanism by which sensitive larvae are acclimatized to stressors, as the</w:t>
      </w:r>
      <w:r w:rsidR="00BC3B99">
        <w:t xml:space="preserve"> </w:t>
      </w:r>
      <w:r w:rsidR="00BC3B99" w:rsidRPr="00BC3B99">
        <w:rPr>
          <w:i/>
        </w:rPr>
        <w:t xml:space="preserve">O. </w:t>
      </w:r>
      <w:proofErr w:type="spellStart"/>
      <w:r w:rsidR="00BC3B99" w:rsidRPr="00BC3B99">
        <w:rPr>
          <w:i/>
        </w:rPr>
        <w:t>lurida</w:t>
      </w:r>
      <w:proofErr w:type="spellEnd"/>
      <w:r>
        <w:t xml:space="preserve"> brood chamber pH and dissolved oxygen can be significantly lower than the environment (Gray </w:t>
      </w:r>
      <w:r>
        <w:rPr>
          <w:i/>
        </w:rPr>
        <w:t>et al</w:t>
      </w:r>
      <w:r>
        <w:t xml:space="preserve">., </w:t>
      </w:r>
      <w:r>
        <w:rPr>
          <w:i/>
        </w:rPr>
        <w:t>in press</w:t>
      </w:r>
      <w:r>
        <w:t xml:space="preserve">). </w:t>
      </w:r>
    </w:p>
    <w:p w14:paraId="73C954D3" w14:textId="68E78D37" w:rsidR="00D64A77" w:rsidRDefault="001554ED" w:rsidP="00C56A3D">
      <w:pPr>
        <w:spacing w:line="480" w:lineRule="auto"/>
        <w:ind w:firstLine="720"/>
      </w:pPr>
      <w:r>
        <w:t xml:space="preserve">Beneficial parental carryover may also be linked to the male-specific gonad effects, and the conditions in which the adult oysters were held. </w:t>
      </w:r>
      <w:r w:rsidR="00E47DBA">
        <w:t xml:space="preserve">During </w:t>
      </w:r>
      <w:r w:rsidR="00501EF7">
        <w:t xml:space="preserve">high </w:t>
      </w:r>
      <w:r>
        <w:t>pCO</w:t>
      </w:r>
      <w:r>
        <w:rPr>
          <w:vertAlign w:val="subscript"/>
        </w:rPr>
        <w:t>2</w:t>
      </w:r>
      <w:r>
        <w:t xml:space="preserve"> </w:t>
      </w:r>
      <w:r w:rsidR="00E47DBA">
        <w:t>exposure,</w:t>
      </w:r>
      <w:r>
        <w:t xml:space="preserve"> </w:t>
      </w:r>
      <w:r w:rsidR="00501EF7">
        <w:t xml:space="preserve">oocyte stage </w:t>
      </w:r>
      <w:r w:rsidR="00E47DBA">
        <w:t>and</w:t>
      </w:r>
      <w:r w:rsidR="00501EF7">
        <w:t xml:space="preserve"> prevalence</w:t>
      </w:r>
      <w:r w:rsidR="00E47DBA">
        <w:t xml:space="preserve"> did not change, which indicates that oogenesis did not occur. </w:t>
      </w:r>
      <w:r>
        <w:t>Negative intergenerational carryover effects are commonly linked to variation in oocyte quality, which can be affected by the maternal environment</w:t>
      </w:r>
      <w:r w:rsidR="00E47DBA">
        <w:t xml:space="preserve"> during oogenesis</w:t>
      </w:r>
      <w:r>
        <w:t xml:space="preserve"> </w:t>
      </w:r>
      <w:hyperlink r:id="rId121">
        <w:r>
          <w:rPr>
            <w:color w:val="000000"/>
          </w:rPr>
          <w:t>(</w:t>
        </w:r>
        <w:proofErr w:type="spellStart"/>
        <w:r>
          <w:rPr>
            <w:color w:val="000000"/>
          </w:rPr>
          <w:t>Utting</w:t>
        </w:r>
        <w:proofErr w:type="spellEnd"/>
        <w:r>
          <w:rPr>
            <w:color w:val="000000"/>
          </w:rPr>
          <w:t xml:space="preserve"> &amp; </w:t>
        </w:r>
        <w:proofErr w:type="spellStart"/>
        <w:r>
          <w:rPr>
            <w:color w:val="000000"/>
          </w:rPr>
          <w:t>Millican</w:t>
        </w:r>
        <w:proofErr w:type="spellEnd"/>
        <w:r>
          <w:rPr>
            <w:color w:val="000000"/>
          </w:rPr>
          <w:t>, 1997)</w:t>
        </w:r>
      </w:hyperlink>
      <w:r>
        <w:t>. In the Chilean flat oyster (</w:t>
      </w:r>
      <w:proofErr w:type="spellStart"/>
      <w:r>
        <w:rPr>
          <w:i/>
        </w:rPr>
        <w:t>Ostrea</w:t>
      </w:r>
      <w:proofErr w:type="spellEnd"/>
      <w:r>
        <w:rPr>
          <w:i/>
        </w:rPr>
        <w:t xml:space="preserve"> chilensis</w:t>
      </w:r>
      <w:r>
        <w:t xml:space="preserve">), </w:t>
      </w:r>
      <w:r w:rsidR="00E47DBA">
        <w:t xml:space="preserve">for instance, </w:t>
      </w:r>
      <w:r>
        <w:t xml:space="preserve">egg size and lipid content positively correlate with juvenile growth and survival </w:t>
      </w:r>
      <w:hyperlink r:id="rId122">
        <w:r>
          <w:rPr>
            <w:color w:val="000000"/>
          </w:rPr>
          <w:t>(</w:t>
        </w:r>
      </w:hyperlink>
      <w:hyperlink r:id="rId123">
        <w:r>
          <w:t>Wilson, Chaparro, &amp; Thompson, 1996</w:t>
        </w:r>
      </w:hyperlink>
      <w:hyperlink r:id="rId124">
        <w:r>
          <w:rPr>
            <w:color w:val="000000"/>
          </w:rPr>
          <w:t>)</w:t>
        </w:r>
      </w:hyperlink>
      <w:r>
        <w:t>. If high pCO</w:t>
      </w:r>
      <w:r>
        <w:rPr>
          <w:vertAlign w:val="subscript"/>
        </w:rPr>
        <w:t>2</w:t>
      </w:r>
      <w:r>
        <w:t xml:space="preserve"> </w:t>
      </w:r>
      <w:r w:rsidR="00E47DBA">
        <w:t xml:space="preserve">exposure </w:t>
      </w:r>
      <w:r>
        <w:t>were to coincide with oocyte</w:t>
      </w:r>
      <w:r w:rsidR="00E47DBA">
        <w:t xml:space="preserve"> proliferation</w:t>
      </w:r>
      <w:r>
        <w:t xml:space="preserve"> and </w:t>
      </w:r>
      <w:r w:rsidR="00E47DBA">
        <w:t>growth</w:t>
      </w:r>
      <w:r>
        <w:t xml:space="preserve">, </w:t>
      </w:r>
      <w:r>
        <w:rPr>
          <w:i/>
        </w:rPr>
        <w:t xml:space="preserve">O. </w:t>
      </w:r>
      <w:proofErr w:type="spellStart"/>
      <w:r>
        <w:rPr>
          <w:i/>
        </w:rPr>
        <w:t>lurida</w:t>
      </w:r>
      <w:proofErr w:type="spellEnd"/>
      <w:r>
        <w:t xml:space="preserve"> egg quality and larval </w:t>
      </w:r>
      <w:r>
        <w:lastRenderedPageBreak/>
        <w:t>viability could be compromised. In contrast, male gonad stage advanced significantly during pCO</w:t>
      </w:r>
      <w:r>
        <w:rPr>
          <w:vertAlign w:val="subscript"/>
        </w:rPr>
        <w:t>2</w:t>
      </w:r>
      <w:r>
        <w:t xml:space="preserve"> exposure. Intergenerational and transgenerational carryover effects are increasingly linked to the paternal environment in other taxa, such as inheritance of epigenetic changes to the male germ line </w:t>
      </w:r>
      <w:hyperlink r:id="rId125">
        <w:r>
          <w:rPr>
            <w:color w:val="000000"/>
          </w:rPr>
          <w:t xml:space="preserve">(Rodgers, Morgan, Bronson, </w:t>
        </w:r>
        <w:proofErr w:type="spellStart"/>
        <w:r>
          <w:rPr>
            <w:color w:val="000000"/>
          </w:rPr>
          <w:t>Revello</w:t>
        </w:r>
        <w:proofErr w:type="spellEnd"/>
        <w:r>
          <w:rPr>
            <w:color w:val="000000"/>
          </w:rPr>
          <w:t xml:space="preserve">, &amp; Bale, 2013; </w:t>
        </w:r>
        <w:proofErr w:type="spellStart"/>
        <w:r w:rsidR="00A07659">
          <w:rPr>
            <w:color w:val="000000"/>
          </w:rPr>
          <w:t>Anway</w:t>
        </w:r>
        <w:proofErr w:type="spellEnd"/>
        <w:r>
          <w:rPr>
            <w:color w:val="000000"/>
          </w:rPr>
          <w:t>, 200</w:t>
        </w:r>
        <w:r w:rsidR="00A07659">
          <w:rPr>
            <w:color w:val="000000"/>
          </w:rPr>
          <w:t>5</w:t>
        </w:r>
        <w:r>
          <w:rPr>
            <w:color w:val="000000"/>
          </w:rPr>
          <w:t xml:space="preserve">; </w:t>
        </w:r>
        <w:proofErr w:type="spellStart"/>
        <w:r>
          <w:rPr>
            <w:color w:val="000000"/>
          </w:rPr>
          <w:t>Soubry</w:t>
        </w:r>
        <w:proofErr w:type="spellEnd"/>
        <w:r>
          <w:rPr>
            <w:color w:val="000000"/>
          </w:rPr>
          <w:t xml:space="preserve">, </w:t>
        </w:r>
        <w:proofErr w:type="spellStart"/>
        <w:r>
          <w:rPr>
            <w:color w:val="000000"/>
          </w:rPr>
          <w:t>Hoyo</w:t>
        </w:r>
        <w:proofErr w:type="spellEnd"/>
        <w:r>
          <w:rPr>
            <w:color w:val="000000"/>
          </w:rPr>
          <w:t xml:space="preserve">, </w:t>
        </w:r>
        <w:proofErr w:type="spellStart"/>
        <w:r>
          <w:rPr>
            <w:color w:val="000000"/>
          </w:rPr>
          <w:t>Jirtle</w:t>
        </w:r>
        <w:proofErr w:type="spellEnd"/>
        <w:r>
          <w:rPr>
            <w:color w:val="000000"/>
          </w:rPr>
          <w:t>, &amp; Murphy, 2014)</w:t>
        </w:r>
      </w:hyperlink>
      <w:r>
        <w:t xml:space="preserve">. Positive carryover effects of environmental stressors observed in this and other marine invertebrate taxa may be due to paternal epigenetic effects, but this link has not yet been observed.  </w:t>
      </w:r>
    </w:p>
    <w:p w14:paraId="4AA5FEEB" w14:textId="77777777" w:rsidR="00C3618B" w:rsidRDefault="00C3618B" w:rsidP="00C3618B">
      <w:pPr>
        <w:spacing w:line="480" w:lineRule="auto"/>
      </w:pPr>
    </w:p>
    <w:p w14:paraId="064E1A2D" w14:textId="795249F7" w:rsidR="00C3618B" w:rsidRDefault="00C3618B" w:rsidP="00C3618B">
      <w:pPr>
        <w:spacing w:line="480" w:lineRule="auto"/>
      </w:pPr>
      <w:r>
        <w:rPr>
          <w:b/>
          <w:sz w:val="36"/>
          <w:szCs w:val="36"/>
        </w:rPr>
        <w:t>Conclusion</w:t>
      </w:r>
    </w:p>
    <w:p w14:paraId="1460D154" w14:textId="3EF9EFC8" w:rsidR="00DA6ECF" w:rsidRDefault="001554ED" w:rsidP="00C3618B">
      <w:pPr>
        <w:spacing w:line="480" w:lineRule="auto"/>
      </w:pPr>
      <w:r>
        <w:t xml:space="preserve">This study clearly demonstrates </w:t>
      </w:r>
      <w:r w:rsidR="00564D93">
        <w:t xml:space="preserve">that </w:t>
      </w:r>
      <w:r>
        <w:t xml:space="preserve">exposure to elevated winter temperature and altered carbonate chemistry impacts reproduction and offspring viability in the Olympia oyster. Furthermore, we report the first observations of intergenerational plasticity in an </w:t>
      </w:r>
      <w:proofErr w:type="spellStart"/>
      <w:r>
        <w:rPr>
          <w:i/>
        </w:rPr>
        <w:t>Ostrea</w:t>
      </w:r>
      <w:proofErr w:type="spellEnd"/>
      <w:r>
        <w:t xml:space="preserve"> species, that is dependent on offspring environmental conditions and population. </w:t>
      </w:r>
      <w:r w:rsidR="00001F4D">
        <w:t>The observed</w:t>
      </w:r>
      <w:r w:rsidR="001F5E17">
        <w:t xml:space="preserve"> context-dependent</w:t>
      </w:r>
      <w:r w:rsidR="00001F4D">
        <w:t xml:space="preserve"> carryover effect</w:t>
      </w:r>
      <w:r w:rsidR="001F5E17">
        <w:t xml:space="preserve">s </w:t>
      </w:r>
      <w:r>
        <w:t>could have a substantial impact on species resilience</w:t>
      </w:r>
      <w:r w:rsidR="009747FF">
        <w:t xml:space="preserve">. </w:t>
      </w:r>
      <w:r w:rsidR="0068692E">
        <w:t xml:space="preserve">Combined with previous reports of resilience to </w:t>
      </w:r>
      <w:r w:rsidR="00DA6ECF">
        <w:t>environmental</w:t>
      </w:r>
      <w:r w:rsidR="0068692E">
        <w:t xml:space="preserve"> stressors (</w:t>
      </w:r>
      <w:proofErr w:type="spellStart"/>
      <w:r w:rsidR="0068692E">
        <w:t>Waldbusser</w:t>
      </w:r>
      <w:proofErr w:type="spellEnd"/>
      <w:r w:rsidR="0068692E">
        <w:t xml:space="preserve"> </w:t>
      </w:r>
      <w:r w:rsidR="0068692E" w:rsidRPr="001107F5">
        <w:rPr>
          <w:i/>
        </w:rPr>
        <w:t>et al</w:t>
      </w:r>
      <w:r w:rsidR="0068692E">
        <w:t xml:space="preserve"> 2016; Cheng </w:t>
      </w:r>
      <w:r w:rsidR="0068692E">
        <w:rPr>
          <w:i/>
        </w:rPr>
        <w:t xml:space="preserve">et al. </w:t>
      </w:r>
      <w:r w:rsidR="0068692E">
        <w:t xml:space="preserve">2017) and intraspecific variability (Bible, Evans &amp; Sanford, 2019; </w:t>
      </w:r>
      <w:r w:rsidR="00DA6ECF" w:rsidRPr="00DA6ECF">
        <w:t xml:space="preserve">Maynard, Bible, </w:t>
      </w:r>
      <w:proofErr w:type="spellStart"/>
      <w:r w:rsidR="00DA6ECF" w:rsidRPr="00DA6ECF">
        <w:t>Pespeni</w:t>
      </w:r>
      <w:proofErr w:type="spellEnd"/>
      <w:r w:rsidR="00DA6ECF" w:rsidRPr="00DA6ECF">
        <w:t>, Sanford, &amp; Evans, 2018;</w:t>
      </w:r>
      <w:r w:rsidR="00DA6ECF">
        <w:t xml:space="preserve"> </w:t>
      </w:r>
      <w:r w:rsidR="00DA6ECF" w:rsidRPr="00DA6ECF">
        <w:t>Silliman, Bowyer, &amp; Roberts, 2018;</w:t>
      </w:r>
      <w:r w:rsidR="00DA6ECF">
        <w:t xml:space="preserve"> </w:t>
      </w:r>
      <w:proofErr w:type="spellStart"/>
      <w:r w:rsidR="00DA6ECF" w:rsidRPr="00DA6ECF">
        <w:t>Heare</w:t>
      </w:r>
      <w:proofErr w:type="spellEnd"/>
      <w:r w:rsidR="00DA6ECF" w:rsidRPr="00DA6ECF">
        <w:t xml:space="preserve">, Blake, Davis, </w:t>
      </w:r>
      <w:proofErr w:type="spellStart"/>
      <w:r w:rsidR="00DA6ECF" w:rsidRPr="00DA6ECF">
        <w:t>Vadopalas</w:t>
      </w:r>
      <w:proofErr w:type="spellEnd"/>
      <w:r w:rsidR="00DA6ECF" w:rsidRPr="00DA6ECF">
        <w:t>, &amp; Roberts, 2017</w:t>
      </w:r>
      <w:r w:rsidR="0068692E">
        <w:t xml:space="preserve">), the Olympia oyster may be </w:t>
      </w:r>
      <w:r w:rsidR="00DA6ECF">
        <w:t>more capable</w:t>
      </w:r>
      <w:r w:rsidR="0068692E">
        <w:t xml:space="preserve"> than other marine bivalve species to withstand and adapt to unprecedented ocean change. </w:t>
      </w:r>
      <w:r w:rsidR="00B21AC0">
        <w:t xml:space="preserve">Furthermore, </w:t>
      </w:r>
      <w:r w:rsidR="00567003">
        <w:t xml:space="preserve">conserving and </w:t>
      </w:r>
      <w:r w:rsidR="00B21AC0">
        <w:t xml:space="preserve">restoring </w:t>
      </w:r>
      <w:r w:rsidR="00B21AC0" w:rsidRPr="00E808F8">
        <w:rPr>
          <w:i/>
        </w:rPr>
        <w:t xml:space="preserve">O. </w:t>
      </w:r>
      <w:proofErr w:type="spellStart"/>
      <w:r w:rsidR="00B21AC0" w:rsidRPr="00E808F8">
        <w:rPr>
          <w:i/>
        </w:rPr>
        <w:t>lurida</w:t>
      </w:r>
      <w:proofErr w:type="spellEnd"/>
      <w:r w:rsidR="00B21AC0">
        <w:t xml:space="preserve"> in a variety of settings </w:t>
      </w:r>
      <w:r w:rsidR="00001F4D">
        <w:t xml:space="preserve">— </w:t>
      </w:r>
      <w:r w:rsidR="00B21AC0">
        <w:t>including</w:t>
      </w:r>
      <w:r w:rsidR="003D6841">
        <w:t xml:space="preserve"> hypoxic, warmer, and less alkaline areas</w:t>
      </w:r>
      <w:r w:rsidR="00E808F8">
        <w:t xml:space="preserve"> </w:t>
      </w:r>
      <w:r w:rsidR="00001F4D">
        <w:t xml:space="preserve">— </w:t>
      </w:r>
      <w:r w:rsidR="00B21AC0">
        <w:t xml:space="preserve">could increase the </w:t>
      </w:r>
      <w:r w:rsidR="00567003">
        <w:t>probability</w:t>
      </w:r>
      <w:r w:rsidR="00B21AC0">
        <w:t xml:space="preserve"> that future </w:t>
      </w:r>
      <w:r w:rsidR="00567003">
        <w:t xml:space="preserve">populations </w:t>
      </w:r>
      <w:r w:rsidR="00B21AC0">
        <w:t>are equipped for challenging conditions</w:t>
      </w:r>
      <w:r w:rsidR="00567003">
        <w:t xml:space="preserve"> through selection or intergenerational carryover. </w:t>
      </w:r>
    </w:p>
    <w:p w14:paraId="4F953869" w14:textId="071F1676" w:rsidR="00D64A77" w:rsidRDefault="004F0989" w:rsidP="009831CC">
      <w:pPr>
        <w:spacing w:line="480" w:lineRule="auto"/>
        <w:ind w:firstLine="720"/>
      </w:pPr>
      <w:r>
        <w:lastRenderedPageBreak/>
        <w:t xml:space="preserve">As temperatures rise and ocean acidification progresses, there may be profound and unexpected seasonal changes across marine taxa. </w:t>
      </w:r>
      <w:r w:rsidR="009831CC">
        <w:t xml:space="preserve">Accurate predictions will need to consider </w:t>
      </w:r>
      <w:r>
        <w:t>parental c</w:t>
      </w:r>
      <w:r w:rsidR="00C3618B">
        <w:t>arryover effects</w:t>
      </w:r>
      <w:r w:rsidR="009831CC">
        <w:t xml:space="preserve">, </w:t>
      </w:r>
      <w:r>
        <w:t xml:space="preserve">as they </w:t>
      </w:r>
      <w:r w:rsidR="00A12400">
        <w:t xml:space="preserve">can </w:t>
      </w:r>
      <w:r w:rsidR="00C3618B">
        <w:t>impart</w:t>
      </w:r>
      <w:r w:rsidR="00A12400">
        <w:t xml:space="preserve"> neutral,</w:t>
      </w:r>
      <w:r w:rsidR="00C3618B">
        <w:t xml:space="preserve"> </w:t>
      </w:r>
      <w:r w:rsidR="00A12400">
        <w:t>beneficial,</w:t>
      </w:r>
      <w:r w:rsidR="00C3618B">
        <w:t xml:space="preserve"> or detrimental characteristics to offspring, </w:t>
      </w:r>
      <w:r w:rsidR="00292D6C">
        <w:t>which depend</w:t>
      </w:r>
      <w:r w:rsidR="00C3618B">
        <w:t xml:space="preserve"> on</w:t>
      </w:r>
      <w:r w:rsidR="003D6841">
        <w:t xml:space="preserve"> complex </w:t>
      </w:r>
      <w:r w:rsidR="00C3618B">
        <w:t xml:space="preserve">interactions among </w:t>
      </w:r>
      <w:r w:rsidR="00292D6C">
        <w:t xml:space="preserve">parental exposure timing, reproductive strategies, species </w:t>
      </w:r>
      <w:r w:rsidR="00A12400">
        <w:t xml:space="preserve">plasticity, </w:t>
      </w:r>
      <w:r w:rsidR="00292D6C">
        <w:t xml:space="preserve">and </w:t>
      </w:r>
      <w:r w:rsidR="00A12400">
        <w:t xml:space="preserve">standing genetic structure. </w:t>
      </w:r>
      <w:r w:rsidR="001554ED">
        <w:t>With these considerations, future biological response studies need to be aware of three possible factors influencing results:</w:t>
      </w:r>
      <w:r w:rsidR="00292D6C">
        <w:t xml:space="preserve"> </w:t>
      </w:r>
      <w:r w:rsidR="001554ED">
        <w:t>1) source population; 2) environmental history (within</w:t>
      </w:r>
      <w:r w:rsidR="00F51E92">
        <w:t>-</w:t>
      </w:r>
      <w:r w:rsidR="001554ED">
        <w:t>lifetime</w:t>
      </w:r>
      <w:r w:rsidR="00F51E92">
        <w:t xml:space="preserve"> carryover effects</w:t>
      </w:r>
      <w:r w:rsidR="001554ED">
        <w:t>); and 3) ancestral environmental history (inter</w:t>
      </w:r>
      <w:r w:rsidR="00C075DE">
        <w:t>-</w:t>
      </w:r>
      <w:r w:rsidR="001554ED">
        <w:t xml:space="preserve"> and transgenerational carryover effects). Controlling for, or at minimum recognizing and recording these factor</w:t>
      </w:r>
      <w:r w:rsidR="001554ED" w:rsidRPr="00141326">
        <w:t xml:space="preserve">s, will provide important context for those predicting ecosystem response to environmental change. </w:t>
      </w:r>
    </w:p>
    <w:p w14:paraId="2AA1E66B" w14:textId="77777777" w:rsidR="00D64A77" w:rsidRDefault="00D64A77" w:rsidP="00C56A3D">
      <w:pPr>
        <w:suppressLineNumbers/>
        <w:spacing w:line="480" w:lineRule="auto"/>
      </w:pPr>
    </w:p>
    <w:p w14:paraId="54E7ACC6" w14:textId="2F7C73F7" w:rsidR="00D64A77" w:rsidRPr="00C56A3D" w:rsidRDefault="001554ED" w:rsidP="00C56A3D">
      <w:pPr>
        <w:spacing w:line="480" w:lineRule="auto"/>
        <w:rPr>
          <w:b/>
          <w:sz w:val="36"/>
          <w:szCs w:val="36"/>
        </w:rPr>
      </w:pPr>
      <w:r>
        <w:rPr>
          <w:b/>
          <w:sz w:val="36"/>
          <w:szCs w:val="36"/>
        </w:rPr>
        <w:t>Acknowledgements</w:t>
      </w:r>
    </w:p>
    <w:p w14:paraId="5D948BAC" w14:textId="3B77F4FE" w:rsidR="00620AFD" w:rsidRDefault="001554ED" w:rsidP="00620AFD">
      <w:pPr>
        <w:spacing w:line="480" w:lineRule="auto"/>
      </w:pPr>
      <w:r>
        <w:t xml:space="preserve">Our gratitude to the following people who assisted with this project: Grace Crandall, Kaitlyn Mitchell, Olivia Smith, Megan Hintz, Rhonda Elliott, Lindsay Alma, Duncan Greeley, Beyer and Jackson Roberts, and </w:t>
      </w:r>
      <w:r w:rsidR="00032C8E">
        <w:t>Ian Davidson</w:t>
      </w:r>
      <w:r>
        <w:t xml:space="preserve"> helped with oyster husbandry and sampling; Alice </w:t>
      </w:r>
      <w:proofErr w:type="spellStart"/>
      <w:r>
        <w:t>Helker</w:t>
      </w:r>
      <w:proofErr w:type="spellEnd"/>
      <w:r>
        <w:t xml:space="preserve"> advised on husbandry and larval rearing system engineering; Emily </w:t>
      </w:r>
      <w:proofErr w:type="spellStart"/>
      <w:r>
        <w:t>Kunselman</w:t>
      </w:r>
      <w:proofErr w:type="spellEnd"/>
      <w:r>
        <w:t xml:space="preserve"> helped manage the field deployment; Sam White and Hollie Putnam contributed to the carbonate chemistry analysis; Katherine Silliman and Jake </w:t>
      </w:r>
      <w:proofErr w:type="spellStart"/>
      <w:r>
        <w:t>Heare</w:t>
      </w:r>
      <w:proofErr w:type="spellEnd"/>
      <w:r>
        <w:t xml:space="preserve"> produced (and saved) the experimental oysters; the NOAA Manchester Research Center and Puget Sound Restoration Fund provided facilities and materials; committee members Jackie Padilla-</w:t>
      </w:r>
      <w:proofErr w:type="spellStart"/>
      <w:r>
        <w:t>Gam</w:t>
      </w:r>
      <w:r w:rsidR="00001F4D">
        <w:t>i</w:t>
      </w:r>
      <w:r>
        <w:rPr>
          <w:highlight w:val="white"/>
        </w:rPr>
        <w:t>ñ</w:t>
      </w:r>
      <w:r w:rsidR="00032C8E">
        <w:t>o</w:t>
      </w:r>
      <w:proofErr w:type="spellEnd"/>
      <w:r w:rsidR="00032C8E">
        <w:t xml:space="preserve">  and</w:t>
      </w:r>
      <w:r>
        <w:t xml:space="preserve"> Rick Goetz advised and supported this extended project</w:t>
      </w:r>
      <w:r w:rsidR="00B44B9F">
        <w:t>. Thank you to David Kimbro</w:t>
      </w:r>
      <w:r w:rsidR="00BB4239">
        <w:t xml:space="preserve"> and</w:t>
      </w:r>
      <w:r w:rsidR="00B44B9F">
        <w:t xml:space="preserve"> an</w:t>
      </w:r>
      <w:r w:rsidR="00BB4239">
        <w:t xml:space="preserve"> anonymous</w:t>
      </w:r>
      <w:r w:rsidR="00B44B9F">
        <w:t xml:space="preserve"> reviewer for </w:t>
      </w:r>
      <w:r w:rsidR="00435BD7">
        <w:t>constructive comments</w:t>
      </w:r>
      <w:r w:rsidR="00B44B9F">
        <w:t xml:space="preserve"> on the manuscript. </w:t>
      </w:r>
      <w:r>
        <w:t xml:space="preserve">This work was supported in part by the National Science Foundation Graduate Research Fellowship Program, the National Shellfisheries Association </w:t>
      </w:r>
      <w:r>
        <w:lastRenderedPageBreak/>
        <w:t xml:space="preserve">Melbourne R. </w:t>
      </w:r>
      <w:proofErr w:type="spellStart"/>
      <w:r>
        <w:t>Carriker</w:t>
      </w:r>
      <w:proofErr w:type="spellEnd"/>
      <w:r>
        <w:t xml:space="preserve"> Student Research Grant, Washington </w:t>
      </w:r>
      <w:r w:rsidR="009559B6">
        <w:t xml:space="preserve">State </w:t>
      </w:r>
      <w:r>
        <w:t xml:space="preserve">Department of Natural Resources, and </w:t>
      </w:r>
      <w:r>
        <w:rPr>
          <w:highlight w:val="white"/>
        </w:rPr>
        <w:t xml:space="preserve">a grant from Washington Sea Grant, University of Washington, pursuant to the National Oceanic and Atmospheric Administration Award No. NA14OAR4170078; Project R/SFA-8. The views expressed herein are those of the author(s) and do not necessarily reflect the views of any funding agency. </w:t>
      </w:r>
    </w:p>
    <w:p w14:paraId="13180E4E" w14:textId="77777777" w:rsidR="00620AFD" w:rsidRDefault="00620AFD" w:rsidP="00620AFD">
      <w:pPr>
        <w:spacing w:line="480" w:lineRule="auto"/>
      </w:pPr>
    </w:p>
    <w:p w14:paraId="0F5FB97E" w14:textId="3FA01903" w:rsidR="00620AFD" w:rsidRPr="00435BD7" w:rsidRDefault="00986591" w:rsidP="00620AFD">
      <w:pPr>
        <w:spacing w:line="480" w:lineRule="auto"/>
        <w:rPr>
          <w:sz w:val="32"/>
        </w:rPr>
      </w:pPr>
      <w:r>
        <w:rPr>
          <w:b/>
          <w:sz w:val="32"/>
        </w:rPr>
        <w:t>Literature Cited</w:t>
      </w:r>
    </w:p>
    <w:p w14:paraId="3D41A8A1" w14:textId="77777777" w:rsidR="00A07659" w:rsidRPr="00A07659" w:rsidRDefault="00A07659" w:rsidP="00A07659">
      <w:pPr>
        <w:widowControl w:val="0"/>
        <w:pBdr>
          <w:top w:val="nil"/>
          <w:left w:val="nil"/>
          <w:bottom w:val="nil"/>
          <w:right w:val="nil"/>
          <w:between w:val="nil"/>
        </w:pBdr>
        <w:spacing w:line="480" w:lineRule="auto"/>
        <w:ind w:left="480" w:hanging="480"/>
      </w:pPr>
      <w:proofErr w:type="spellStart"/>
      <w:r>
        <w:rPr>
          <w:color w:val="000000"/>
        </w:rPr>
        <w:t>Anway</w:t>
      </w:r>
      <w:proofErr w:type="spellEnd"/>
      <w:r>
        <w:rPr>
          <w:color w:val="000000"/>
        </w:rPr>
        <w:t xml:space="preserve">, M.D., </w:t>
      </w:r>
      <w:proofErr w:type="spellStart"/>
      <w:r>
        <w:rPr>
          <w:color w:val="000000"/>
        </w:rPr>
        <w:t>Cupp</w:t>
      </w:r>
      <w:proofErr w:type="spellEnd"/>
      <w:r>
        <w:rPr>
          <w:color w:val="000000"/>
        </w:rPr>
        <w:t xml:space="preserve">, A. S., </w:t>
      </w:r>
      <w:proofErr w:type="spellStart"/>
      <w:r>
        <w:rPr>
          <w:color w:val="000000"/>
        </w:rPr>
        <w:t>Uzumcu</w:t>
      </w:r>
      <w:proofErr w:type="spellEnd"/>
      <w:r>
        <w:rPr>
          <w:color w:val="000000"/>
        </w:rPr>
        <w:t xml:space="preserve">, M., &amp; M. K. </w:t>
      </w:r>
      <w:r w:rsidRPr="00435BD7">
        <w:rPr>
          <w:color w:val="000000"/>
        </w:rPr>
        <w:t>Skinner (200</w:t>
      </w:r>
      <w:r>
        <w:rPr>
          <w:color w:val="000000"/>
        </w:rPr>
        <w:t>5</w:t>
      </w:r>
      <w:r w:rsidRPr="00435BD7">
        <w:rPr>
          <w:color w:val="000000"/>
        </w:rPr>
        <w:t xml:space="preserve">). Epigenetic Transgenerational Actions of Endocrine Disruptors through the Male Germ-Line. </w:t>
      </w:r>
      <w:r>
        <w:rPr>
          <w:i/>
          <w:color w:val="000000"/>
        </w:rPr>
        <w:t>Science</w:t>
      </w:r>
      <w:r w:rsidRPr="00435BD7">
        <w:rPr>
          <w:color w:val="000000"/>
        </w:rPr>
        <w:t xml:space="preserve">, </w:t>
      </w:r>
      <w:r>
        <w:rPr>
          <w:b/>
          <w:color w:val="000000"/>
        </w:rPr>
        <w:t>308</w:t>
      </w:r>
      <w:r w:rsidRPr="00435BD7">
        <w:rPr>
          <w:color w:val="000000"/>
        </w:rPr>
        <w:t>(</w:t>
      </w:r>
      <w:r>
        <w:rPr>
          <w:color w:val="000000"/>
        </w:rPr>
        <w:t>5727</w:t>
      </w:r>
      <w:r w:rsidRPr="00435BD7">
        <w:rPr>
          <w:color w:val="000000"/>
        </w:rPr>
        <w:t>)</w:t>
      </w:r>
      <w:r>
        <w:rPr>
          <w:color w:val="000000"/>
        </w:rPr>
        <w:t xml:space="preserve">: </w:t>
      </w:r>
      <w:r w:rsidRPr="00A07659">
        <w:rPr>
          <w:color w:val="000000"/>
        </w:rPr>
        <w:t>1466-1469</w:t>
      </w:r>
      <w:r w:rsidRPr="00435BD7">
        <w:rPr>
          <w:color w:val="000000"/>
        </w:rPr>
        <w:t xml:space="preserve">. </w:t>
      </w:r>
      <w:r w:rsidRPr="00435BD7">
        <w:t>https://doi.org/10.1126/science.1108190</w:t>
      </w:r>
    </w:p>
    <w:p w14:paraId="19E9CF4F" w14:textId="2C30355C" w:rsidR="00A4575E" w:rsidRPr="00435BD7" w:rsidRDefault="00A4575E" w:rsidP="00A4575E">
      <w:pPr>
        <w:widowControl w:val="0"/>
        <w:pBdr>
          <w:top w:val="nil"/>
          <w:left w:val="nil"/>
          <w:bottom w:val="nil"/>
          <w:right w:val="nil"/>
          <w:between w:val="nil"/>
        </w:pBdr>
        <w:spacing w:line="480" w:lineRule="auto"/>
        <w:ind w:left="480" w:hanging="480"/>
        <w:rPr>
          <w:rFonts w:eastAsia="Arial"/>
        </w:rPr>
      </w:pPr>
      <w:r w:rsidRPr="00435BD7">
        <w:rPr>
          <w:rFonts w:eastAsia="Arial"/>
        </w:rPr>
        <w:t xml:space="preserve">Barber, J. S., Dexter, J. E., Grossman, S. K., Greiner, C. M., &amp; </w:t>
      </w:r>
      <w:proofErr w:type="spellStart"/>
      <w:r w:rsidRPr="00435BD7">
        <w:rPr>
          <w:rFonts w:eastAsia="Arial"/>
        </w:rPr>
        <w:t>Mcardle</w:t>
      </w:r>
      <w:proofErr w:type="spellEnd"/>
      <w:r w:rsidRPr="00435BD7">
        <w:rPr>
          <w:rFonts w:eastAsia="Arial"/>
        </w:rPr>
        <w:t xml:space="preserve">, J. T. (2016). Low Temperature Brooding of Olympia Oysters </w:t>
      </w:r>
      <w:proofErr w:type="gramStart"/>
      <w:r w:rsidRPr="00435BD7">
        <w:rPr>
          <w:rFonts w:eastAsia="Arial"/>
        </w:rPr>
        <w:t xml:space="preserve">( </w:t>
      </w:r>
      <w:proofErr w:type="spellStart"/>
      <w:r w:rsidRPr="00435BD7">
        <w:rPr>
          <w:rFonts w:eastAsia="Arial"/>
        </w:rPr>
        <w:t>Ostrea</w:t>
      </w:r>
      <w:proofErr w:type="spellEnd"/>
      <w:proofErr w:type="gramEnd"/>
      <w:r w:rsidRPr="00435BD7">
        <w:rPr>
          <w:rFonts w:eastAsia="Arial"/>
        </w:rPr>
        <w:t xml:space="preserve"> </w:t>
      </w:r>
      <w:proofErr w:type="spellStart"/>
      <w:r w:rsidRPr="00435BD7">
        <w:rPr>
          <w:rFonts w:eastAsia="Arial"/>
        </w:rPr>
        <w:t>Lurida</w:t>
      </w:r>
      <w:proofErr w:type="spellEnd"/>
      <w:r w:rsidRPr="00435BD7">
        <w:rPr>
          <w:rFonts w:eastAsia="Arial"/>
        </w:rPr>
        <w:t xml:space="preserve"> ) in Northern Puget Sound. </w:t>
      </w:r>
      <w:r w:rsidRPr="00435BD7">
        <w:rPr>
          <w:rFonts w:eastAsia="Arial"/>
          <w:i/>
          <w:iCs/>
        </w:rPr>
        <w:t>Journal of Shellfish Research</w:t>
      </w:r>
      <w:r w:rsidRPr="00435BD7">
        <w:rPr>
          <w:rFonts w:eastAsia="Arial"/>
        </w:rPr>
        <w:t xml:space="preserve"> </w:t>
      </w:r>
      <w:r w:rsidRPr="00435BD7">
        <w:rPr>
          <w:rFonts w:eastAsia="Arial"/>
          <w:b/>
        </w:rPr>
        <w:t>35</w:t>
      </w:r>
      <w:r w:rsidR="003D10ED">
        <w:rPr>
          <w:rFonts w:eastAsia="Arial"/>
        </w:rPr>
        <w:t xml:space="preserve"> </w:t>
      </w:r>
      <w:r w:rsidRPr="00435BD7">
        <w:rPr>
          <w:rFonts w:eastAsia="Arial"/>
        </w:rPr>
        <w:t>(2): 351–57.</w:t>
      </w:r>
    </w:p>
    <w:p w14:paraId="51997CB5" w14:textId="318FCC30"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Barton, A., Hales, B., </w:t>
      </w:r>
      <w:proofErr w:type="spellStart"/>
      <w:r w:rsidRPr="00435BD7">
        <w:rPr>
          <w:color w:val="000000"/>
        </w:rPr>
        <w:t>Waldbusser</w:t>
      </w:r>
      <w:proofErr w:type="spellEnd"/>
      <w:r w:rsidRPr="00435BD7">
        <w:rPr>
          <w:color w:val="000000"/>
        </w:rPr>
        <w:t xml:space="preserve">, G. G., Langdon, C., &amp; Feely, R. A. (2012). The Pacific oyster, </w:t>
      </w:r>
      <w:proofErr w:type="spellStart"/>
      <w:r w:rsidRPr="00435BD7">
        <w:rPr>
          <w:color w:val="000000"/>
        </w:rPr>
        <w:t>Crassostrea</w:t>
      </w:r>
      <w:proofErr w:type="spellEnd"/>
      <w:r w:rsidRPr="00435BD7">
        <w:rPr>
          <w:color w:val="000000"/>
        </w:rPr>
        <w:t xml:space="preserve"> </w:t>
      </w:r>
      <w:proofErr w:type="spellStart"/>
      <w:r w:rsidRPr="00435BD7">
        <w:rPr>
          <w:color w:val="000000"/>
        </w:rPr>
        <w:t>gigas</w:t>
      </w:r>
      <w:proofErr w:type="spellEnd"/>
      <w:r w:rsidRPr="00435BD7">
        <w:rPr>
          <w:color w:val="000000"/>
        </w:rPr>
        <w:t xml:space="preserve">, shows negative correlation to naturally elevated carbon dioxide levels: Implications for near-term ocean acidification effects. </w:t>
      </w:r>
      <w:r w:rsidRPr="00435BD7">
        <w:rPr>
          <w:i/>
          <w:color w:val="000000"/>
        </w:rPr>
        <w:t>Limnology and Oceanography</w:t>
      </w:r>
      <w:r w:rsidRPr="00435BD7">
        <w:rPr>
          <w:color w:val="000000"/>
        </w:rPr>
        <w:t xml:space="preserve">, </w:t>
      </w:r>
      <w:r w:rsidRPr="00435BD7">
        <w:rPr>
          <w:b/>
          <w:color w:val="000000"/>
        </w:rPr>
        <w:t>57</w:t>
      </w:r>
      <w:r w:rsidRPr="00435BD7">
        <w:rPr>
          <w:color w:val="000000"/>
        </w:rPr>
        <w:t>(3)</w:t>
      </w:r>
      <w:r w:rsidR="003D10ED">
        <w:rPr>
          <w:color w:val="000000"/>
        </w:rPr>
        <w:t>:</w:t>
      </w:r>
      <w:r w:rsidRPr="00435BD7">
        <w:rPr>
          <w:color w:val="000000"/>
        </w:rPr>
        <w:t xml:space="preserve"> 698–710. Retrieved from https://onlinelibrary.wiley.com/doi/abs/10.4319/lo.2012.57.3.0698</w:t>
      </w:r>
    </w:p>
    <w:p w14:paraId="0851FD95" w14:textId="0EDA83B2"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Bayne, B. L. (1976). Aspects of Reproduction in Bivalve </w:t>
      </w:r>
      <w:proofErr w:type="spellStart"/>
      <w:r w:rsidRPr="00435BD7">
        <w:rPr>
          <w:color w:val="000000"/>
        </w:rPr>
        <w:t>Molluscs</w:t>
      </w:r>
      <w:proofErr w:type="spellEnd"/>
      <w:r w:rsidRPr="00435BD7">
        <w:rPr>
          <w:color w:val="000000"/>
        </w:rPr>
        <w:t>. In: M. Wiley (Ed.), Estuarine Processes (pp. 432–448). Academic Press.</w:t>
      </w:r>
      <w:r w:rsidRPr="00435BD7">
        <w:t xml:space="preserve"> </w:t>
      </w:r>
      <w:r w:rsidRPr="00435BD7">
        <w:rPr>
          <w:color w:val="000000"/>
        </w:rPr>
        <w:t>https://doi.org/10.1016/B978-0-12-751801-5.50043-5</w:t>
      </w:r>
    </w:p>
    <w:p w14:paraId="4C79EEBB" w14:textId="6265F499"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Benjamini</w:t>
      </w:r>
      <w:proofErr w:type="spellEnd"/>
      <w:r w:rsidRPr="00435BD7">
        <w:rPr>
          <w:color w:val="000000"/>
        </w:rPr>
        <w:t xml:space="preserve">, Y., &amp; Hochberg, Y. (1995). Controlling the False Discovery Rate: A Practical and Powerful Approach to Multiple Testing. </w:t>
      </w:r>
      <w:r w:rsidRPr="00435BD7">
        <w:rPr>
          <w:i/>
          <w:color w:val="000000"/>
        </w:rPr>
        <w:t xml:space="preserve">Journal of the Royal Statistical Society. Series B, </w:t>
      </w:r>
      <w:r w:rsidRPr="00435BD7">
        <w:rPr>
          <w:i/>
          <w:color w:val="000000"/>
        </w:rPr>
        <w:lastRenderedPageBreak/>
        <w:t>Statistical Methodology</w:t>
      </w:r>
      <w:r w:rsidRPr="00435BD7">
        <w:rPr>
          <w:color w:val="000000"/>
        </w:rPr>
        <w:t xml:space="preserve">, </w:t>
      </w:r>
      <w:r w:rsidRPr="00435BD7">
        <w:rPr>
          <w:b/>
          <w:color w:val="000000"/>
        </w:rPr>
        <w:t>57</w:t>
      </w:r>
      <w:r w:rsidRPr="00435BD7">
        <w:rPr>
          <w:color w:val="000000"/>
        </w:rPr>
        <w:t>(1)</w:t>
      </w:r>
      <w:r w:rsidR="003D10ED">
        <w:rPr>
          <w:color w:val="000000"/>
        </w:rPr>
        <w:t>:</w:t>
      </w:r>
      <w:r w:rsidRPr="00435BD7">
        <w:rPr>
          <w:color w:val="000000"/>
        </w:rPr>
        <w:t xml:space="preserve"> 289–300. Retrieved from http://www.jstor.org/stable/2346101</w:t>
      </w:r>
    </w:p>
    <w:p w14:paraId="7CC85F36" w14:textId="34BD8C85"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Bible, J. M., &amp; Sanford, E. (2016). Local adaptation in an estuarine foundation species: Implications for restoration. </w:t>
      </w:r>
      <w:r w:rsidRPr="00435BD7">
        <w:rPr>
          <w:i/>
          <w:color w:val="000000"/>
        </w:rPr>
        <w:t>Biological Conservation</w:t>
      </w:r>
      <w:r w:rsidRPr="00435BD7">
        <w:rPr>
          <w:color w:val="000000"/>
        </w:rPr>
        <w:t xml:space="preserve">, </w:t>
      </w:r>
      <w:r w:rsidRPr="00435BD7">
        <w:rPr>
          <w:b/>
          <w:color w:val="000000"/>
        </w:rPr>
        <w:t>193</w:t>
      </w:r>
      <w:r w:rsidR="00424FB9" w:rsidRPr="00DD64D7">
        <w:rPr>
          <w:color w:val="000000"/>
        </w:rPr>
        <w:t>: 95–102. https://doi.org/</w:t>
      </w:r>
      <w:r w:rsidRPr="00435BD7">
        <w:rPr>
          <w:color w:val="000000"/>
        </w:rPr>
        <w:t>10.1016/j.biocon.2015.11.015</w:t>
      </w:r>
    </w:p>
    <w:p w14:paraId="61AD033A" w14:textId="4E4BEF58" w:rsidR="00AB2D8C" w:rsidRPr="00435BD7" w:rsidRDefault="00AB2D8C"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Bible, J. M., Evans, T. G., &amp; Sanford, E. (2019). Differences in Induced Thermotolerance among Populations of Olympia Oysters. </w:t>
      </w:r>
      <w:r w:rsidRPr="00435BD7">
        <w:rPr>
          <w:i/>
          <w:color w:val="000000"/>
        </w:rPr>
        <w:t>Comparative Biochemistry and Physiology. Part A, Molecular &amp; Integrative Physiology</w:t>
      </w:r>
      <w:r w:rsidRPr="00435BD7">
        <w:rPr>
          <w:color w:val="000000"/>
        </w:rPr>
        <w:t xml:space="preserve">, Online version published </w:t>
      </w:r>
      <w:proofErr w:type="gramStart"/>
      <w:r w:rsidRPr="00435BD7">
        <w:rPr>
          <w:color w:val="000000"/>
        </w:rPr>
        <w:t>September,</w:t>
      </w:r>
      <w:proofErr w:type="gramEnd"/>
      <w:r w:rsidRPr="00435BD7">
        <w:rPr>
          <w:color w:val="000000"/>
        </w:rPr>
        <w:t xml:space="preserve"> 110563. https://doi.org/10.1016/j.cbpa.2019.110563</w:t>
      </w:r>
    </w:p>
    <w:p w14:paraId="62E6DA44" w14:textId="56292F94" w:rsidR="00FB58E9" w:rsidRPr="00435BD7" w:rsidRDefault="00FB58E9" w:rsidP="00FB58E9">
      <w:pPr>
        <w:widowControl w:val="0"/>
        <w:pBdr>
          <w:top w:val="nil"/>
          <w:left w:val="nil"/>
          <w:bottom w:val="nil"/>
          <w:right w:val="nil"/>
          <w:between w:val="nil"/>
        </w:pBdr>
        <w:spacing w:line="480" w:lineRule="auto"/>
        <w:ind w:left="480" w:hanging="480"/>
      </w:pPr>
      <w:r w:rsidRPr="00435BD7">
        <w:t xml:space="preserve">Bitter, M. C., </w:t>
      </w:r>
      <w:proofErr w:type="spellStart"/>
      <w:r w:rsidRPr="00435BD7">
        <w:t>Kapsenberg</w:t>
      </w:r>
      <w:proofErr w:type="spellEnd"/>
      <w:r w:rsidRPr="00435BD7">
        <w:t xml:space="preserve">, L., </w:t>
      </w:r>
      <w:proofErr w:type="spellStart"/>
      <w:r w:rsidRPr="00435BD7">
        <w:t>Gattuso</w:t>
      </w:r>
      <w:proofErr w:type="spellEnd"/>
      <w:r w:rsidRPr="00435BD7">
        <w:t xml:space="preserve">, J.  -P., &amp; Pfister, C. A. (2019). Cryptic genetic variation underpins rapid adaptation to ocean acidification </w:t>
      </w:r>
      <w:proofErr w:type="spellStart"/>
      <w:r w:rsidR="00961A52" w:rsidRPr="00435BD7">
        <w:rPr>
          <w:i/>
        </w:rPr>
        <w:t>BioRxiv</w:t>
      </w:r>
      <w:proofErr w:type="spellEnd"/>
      <w:r w:rsidR="00961A52" w:rsidRPr="00435BD7">
        <w:rPr>
          <w:i/>
        </w:rPr>
        <w:t xml:space="preserve"> </w:t>
      </w:r>
      <w:r w:rsidRPr="00435BD7">
        <w:t>p. 700526.</w:t>
      </w:r>
      <w:r w:rsidR="00961A52" w:rsidRPr="00435BD7">
        <w:t xml:space="preserve"> </w:t>
      </w:r>
      <w:r w:rsidRPr="00435BD7">
        <w:t>https://doi.org/10.1101/700526</w:t>
      </w:r>
    </w:p>
    <w:p w14:paraId="2DF98E4F" w14:textId="07DD8F83" w:rsidR="00D64A77" w:rsidRPr="00435BD7" w:rsidRDefault="00FB58E9" w:rsidP="00FB58E9">
      <w:pPr>
        <w:widowControl w:val="0"/>
        <w:pBdr>
          <w:top w:val="nil"/>
          <w:left w:val="nil"/>
          <w:bottom w:val="nil"/>
          <w:right w:val="nil"/>
          <w:between w:val="nil"/>
        </w:pBdr>
        <w:spacing w:line="480" w:lineRule="auto"/>
        <w:ind w:left="480" w:hanging="480"/>
        <w:rPr>
          <w:color w:val="000000"/>
        </w:rPr>
      </w:pPr>
      <w:r w:rsidRPr="00435BD7">
        <w:t xml:space="preserve"> </w:t>
      </w:r>
      <w:r w:rsidR="001554ED" w:rsidRPr="00435BD7">
        <w:rPr>
          <w:color w:val="000000"/>
        </w:rPr>
        <w:t>Blake, B., &amp; Bradbury, A. (2012). Washington Department of Fish and Wildlife plan for rebuilding Olympia oyster (</w:t>
      </w:r>
      <w:proofErr w:type="spellStart"/>
      <w:r w:rsidR="001554ED" w:rsidRPr="00435BD7">
        <w:rPr>
          <w:color w:val="000000"/>
        </w:rPr>
        <w:t>Ostrea</w:t>
      </w:r>
      <w:proofErr w:type="spellEnd"/>
      <w:r w:rsidR="001554ED" w:rsidRPr="00435BD7">
        <w:rPr>
          <w:color w:val="000000"/>
        </w:rPr>
        <w:t xml:space="preserve"> </w:t>
      </w:r>
      <w:proofErr w:type="spellStart"/>
      <w:r w:rsidR="001554ED" w:rsidRPr="00435BD7">
        <w:rPr>
          <w:color w:val="000000"/>
        </w:rPr>
        <w:t>lurida</w:t>
      </w:r>
      <w:proofErr w:type="spellEnd"/>
      <w:r w:rsidR="001554ED" w:rsidRPr="00435BD7">
        <w:rPr>
          <w:color w:val="000000"/>
        </w:rPr>
        <w:t xml:space="preserve">) populations in Puget Sound with a historical and contemporary overview. </w:t>
      </w:r>
      <w:proofErr w:type="spellStart"/>
      <w:r w:rsidR="001554ED" w:rsidRPr="00435BD7">
        <w:rPr>
          <w:color w:val="000000"/>
        </w:rPr>
        <w:t>Brinnon</w:t>
      </w:r>
      <w:proofErr w:type="spellEnd"/>
      <w:r w:rsidR="001554ED" w:rsidRPr="00435BD7">
        <w:rPr>
          <w:color w:val="000000"/>
        </w:rPr>
        <w:t>, WA: Washington Department of Fish and Wildlife. Retrieved from https://www.westcoast.fisheries.noaa.gov/publications/aquaculture/olympia_oyster_restoration_plan_final.pdf</w:t>
      </w:r>
    </w:p>
    <w:p w14:paraId="59D5318F" w14:textId="013D8DB4"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Boulais, M., </w:t>
      </w:r>
      <w:proofErr w:type="spellStart"/>
      <w:r w:rsidRPr="00435BD7">
        <w:rPr>
          <w:color w:val="000000"/>
        </w:rPr>
        <w:t>Chenevert</w:t>
      </w:r>
      <w:proofErr w:type="spellEnd"/>
      <w:r w:rsidRPr="00435BD7">
        <w:rPr>
          <w:color w:val="000000"/>
        </w:rPr>
        <w:t xml:space="preserve">, K. J., </w:t>
      </w:r>
      <w:proofErr w:type="spellStart"/>
      <w:r w:rsidRPr="00435BD7">
        <w:rPr>
          <w:color w:val="000000"/>
        </w:rPr>
        <w:t>Demey</w:t>
      </w:r>
      <w:proofErr w:type="spellEnd"/>
      <w:r w:rsidRPr="00435BD7">
        <w:rPr>
          <w:color w:val="000000"/>
        </w:rPr>
        <w:t xml:space="preserve">, A. T., Darrow, E. S., Robison, M. R., Roberts, J. P., &amp; </w:t>
      </w:r>
      <w:proofErr w:type="spellStart"/>
      <w:r w:rsidRPr="00435BD7">
        <w:rPr>
          <w:color w:val="000000"/>
        </w:rPr>
        <w:t>Volety</w:t>
      </w:r>
      <w:proofErr w:type="spellEnd"/>
      <w:r w:rsidRPr="00435BD7">
        <w:rPr>
          <w:color w:val="000000"/>
        </w:rPr>
        <w:t xml:space="preserve">, A. (2017). Oyster reproduction is compromised by acidification experienced seasonally in coastal regions. </w:t>
      </w:r>
      <w:r w:rsidRPr="00435BD7">
        <w:rPr>
          <w:i/>
          <w:color w:val="000000"/>
        </w:rPr>
        <w:t>Scientific Reports</w:t>
      </w:r>
      <w:r w:rsidRPr="00435BD7">
        <w:rPr>
          <w:color w:val="000000"/>
        </w:rPr>
        <w:t xml:space="preserve">, </w:t>
      </w:r>
      <w:r w:rsidRPr="00435BD7">
        <w:rPr>
          <w:b/>
          <w:color w:val="000000"/>
        </w:rPr>
        <w:t>7</w:t>
      </w:r>
      <w:r w:rsidRPr="00435BD7">
        <w:rPr>
          <w:color w:val="000000"/>
        </w:rPr>
        <w:t>(1), 13276. https://doi.org/10.1038/s41598-017-13480-3</w:t>
      </w:r>
    </w:p>
    <w:p w14:paraId="62DB1204" w14:textId="614CB0DE" w:rsidR="00D64A7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Byrne, M., &amp; </w:t>
      </w:r>
      <w:proofErr w:type="spellStart"/>
      <w:r w:rsidRPr="00435BD7">
        <w:rPr>
          <w:color w:val="000000"/>
        </w:rPr>
        <w:t>Przeslawski</w:t>
      </w:r>
      <w:proofErr w:type="spellEnd"/>
      <w:r w:rsidRPr="00435BD7">
        <w:rPr>
          <w:color w:val="000000"/>
        </w:rPr>
        <w:t xml:space="preserve">, R. (2013). </w:t>
      </w:r>
      <w:proofErr w:type="spellStart"/>
      <w:r w:rsidRPr="00435BD7">
        <w:rPr>
          <w:color w:val="000000"/>
        </w:rPr>
        <w:t>Multistressor</w:t>
      </w:r>
      <w:proofErr w:type="spellEnd"/>
      <w:r w:rsidRPr="00435BD7">
        <w:rPr>
          <w:color w:val="000000"/>
        </w:rPr>
        <w:t xml:space="preserve"> impacts of warming and acidification of the </w:t>
      </w:r>
      <w:r w:rsidRPr="00435BD7">
        <w:rPr>
          <w:color w:val="000000"/>
        </w:rPr>
        <w:lastRenderedPageBreak/>
        <w:t xml:space="preserve">ocean on marine invertebrates’ life histories. </w:t>
      </w:r>
      <w:r w:rsidRPr="00435BD7">
        <w:rPr>
          <w:i/>
          <w:color w:val="000000"/>
        </w:rPr>
        <w:t>Integrative and Comparative Biology</w:t>
      </w:r>
      <w:r w:rsidRPr="00435BD7">
        <w:rPr>
          <w:color w:val="000000"/>
        </w:rPr>
        <w:t xml:space="preserve">, </w:t>
      </w:r>
      <w:r w:rsidRPr="00435BD7">
        <w:rPr>
          <w:b/>
          <w:color w:val="000000"/>
        </w:rPr>
        <w:t>53</w:t>
      </w:r>
      <w:r w:rsidRPr="00435BD7">
        <w:rPr>
          <w:color w:val="000000"/>
        </w:rPr>
        <w:t>(4)</w:t>
      </w:r>
      <w:r w:rsidR="00424FB9">
        <w:rPr>
          <w:color w:val="000000"/>
        </w:rPr>
        <w:t>:</w:t>
      </w:r>
      <w:r w:rsidRPr="00435BD7">
        <w:rPr>
          <w:color w:val="000000"/>
        </w:rPr>
        <w:t xml:space="preserve"> 582–596. https://doi.org/10.1093/icb/ict049</w:t>
      </w:r>
    </w:p>
    <w:p w14:paraId="42DB89BC" w14:textId="0B7DBE3C" w:rsidR="0074706E" w:rsidRPr="00435BD7" w:rsidRDefault="0074706E" w:rsidP="0074706E">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Chevillot</w:t>
      </w:r>
      <w:proofErr w:type="spellEnd"/>
      <w:r w:rsidRPr="00435BD7">
        <w:rPr>
          <w:color w:val="000000"/>
        </w:rPr>
        <w:t xml:space="preserve">, X., </w:t>
      </w:r>
      <w:proofErr w:type="spellStart"/>
      <w:r w:rsidRPr="00435BD7">
        <w:rPr>
          <w:color w:val="000000"/>
        </w:rPr>
        <w:t>Drouineau</w:t>
      </w:r>
      <w:proofErr w:type="spellEnd"/>
      <w:r w:rsidRPr="00435BD7">
        <w:rPr>
          <w:color w:val="000000"/>
        </w:rPr>
        <w:t xml:space="preserve">, H., Lambert, P., </w:t>
      </w:r>
      <w:proofErr w:type="spellStart"/>
      <w:r w:rsidRPr="00435BD7">
        <w:rPr>
          <w:color w:val="000000"/>
        </w:rPr>
        <w:t>Carassou</w:t>
      </w:r>
      <w:proofErr w:type="spellEnd"/>
      <w:r w:rsidRPr="00435BD7">
        <w:rPr>
          <w:color w:val="000000"/>
        </w:rPr>
        <w:t xml:space="preserve">, L., </w:t>
      </w:r>
      <w:proofErr w:type="spellStart"/>
      <w:r w:rsidRPr="00435BD7">
        <w:rPr>
          <w:color w:val="000000"/>
        </w:rPr>
        <w:t>Sautour</w:t>
      </w:r>
      <w:proofErr w:type="spellEnd"/>
      <w:r w:rsidRPr="00435BD7">
        <w:rPr>
          <w:color w:val="000000"/>
        </w:rPr>
        <w:t xml:space="preserve">, B., &amp; </w:t>
      </w:r>
      <w:proofErr w:type="spellStart"/>
      <w:r w:rsidRPr="00435BD7">
        <w:rPr>
          <w:color w:val="000000"/>
        </w:rPr>
        <w:t>Lobry</w:t>
      </w:r>
      <w:proofErr w:type="spellEnd"/>
      <w:r w:rsidRPr="00435BD7">
        <w:rPr>
          <w:color w:val="000000"/>
        </w:rPr>
        <w:t xml:space="preserve">, J. (2017). Toward a phenological mismatch in estuarine pelagic food web? </w:t>
      </w:r>
      <w:proofErr w:type="spellStart"/>
      <w:r w:rsidRPr="00435BD7">
        <w:rPr>
          <w:i/>
          <w:color w:val="000000"/>
        </w:rPr>
        <w:t>PloS</w:t>
      </w:r>
      <w:proofErr w:type="spellEnd"/>
      <w:r w:rsidRPr="00435BD7">
        <w:rPr>
          <w:i/>
          <w:color w:val="000000"/>
        </w:rPr>
        <w:t xml:space="preserve"> One</w:t>
      </w:r>
      <w:r w:rsidRPr="00435BD7">
        <w:rPr>
          <w:color w:val="000000"/>
        </w:rPr>
        <w:t xml:space="preserve">, </w:t>
      </w:r>
      <w:r w:rsidRPr="00435BD7">
        <w:rPr>
          <w:b/>
          <w:color w:val="000000"/>
        </w:rPr>
        <w:t>12</w:t>
      </w:r>
      <w:r w:rsidRPr="00435BD7">
        <w:rPr>
          <w:color w:val="000000"/>
        </w:rPr>
        <w:t>(3)</w:t>
      </w:r>
      <w:r w:rsidR="00424FB9">
        <w:rPr>
          <w:color w:val="000000"/>
        </w:rPr>
        <w:t>:</w:t>
      </w:r>
      <w:r w:rsidRPr="00435BD7">
        <w:rPr>
          <w:color w:val="000000"/>
        </w:rPr>
        <w:t xml:space="preserve"> e0173752. https://doi.org/10.1371/journal.pone.0173752</w:t>
      </w:r>
    </w:p>
    <w:p w14:paraId="5820FA40" w14:textId="3D0866D6" w:rsidR="00DA6E60" w:rsidRPr="00435BD7" w:rsidRDefault="00DA6E60" w:rsidP="00026336">
      <w:pPr>
        <w:widowControl w:val="0"/>
        <w:pBdr>
          <w:top w:val="nil"/>
          <w:left w:val="nil"/>
          <w:bottom w:val="nil"/>
          <w:right w:val="nil"/>
          <w:between w:val="nil"/>
        </w:pBdr>
        <w:spacing w:line="480" w:lineRule="auto"/>
        <w:ind w:left="480" w:hanging="480"/>
        <w:rPr>
          <w:color w:val="000000"/>
        </w:rPr>
      </w:pPr>
      <w:r w:rsidRPr="00435BD7">
        <w:rPr>
          <w:color w:val="000000"/>
        </w:rPr>
        <w:t xml:space="preserve">Clark, M. S., Suckling, C. C., </w:t>
      </w:r>
      <w:proofErr w:type="spellStart"/>
      <w:r w:rsidRPr="00435BD7">
        <w:rPr>
          <w:color w:val="000000"/>
        </w:rPr>
        <w:t>Cavallo</w:t>
      </w:r>
      <w:proofErr w:type="spellEnd"/>
      <w:r w:rsidRPr="00435BD7">
        <w:rPr>
          <w:color w:val="000000"/>
        </w:rPr>
        <w:t xml:space="preserve">, A., Mackenzie, C. L., Thorne, M. A. S., Davies, A.  J., &amp; Peck, L. S. (2019). Molecular Mechanisms Underpinning Transgenerational Plasticity in the Green Sea Urchin </w:t>
      </w:r>
      <w:proofErr w:type="spellStart"/>
      <w:r w:rsidRPr="00435BD7">
        <w:rPr>
          <w:color w:val="000000"/>
        </w:rPr>
        <w:t>Psammechinus</w:t>
      </w:r>
      <w:proofErr w:type="spellEnd"/>
      <w:r w:rsidRPr="00435BD7">
        <w:rPr>
          <w:color w:val="000000"/>
        </w:rPr>
        <w:t xml:space="preserve"> Miliaris. </w:t>
      </w:r>
      <w:r w:rsidRPr="00435BD7">
        <w:rPr>
          <w:i/>
          <w:iCs/>
          <w:color w:val="000000"/>
        </w:rPr>
        <w:t>Scientific Reports</w:t>
      </w:r>
      <w:r w:rsidRPr="00435BD7">
        <w:rPr>
          <w:color w:val="000000"/>
        </w:rPr>
        <w:t xml:space="preserve"> </w:t>
      </w:r>
      <w:r w:rsidRPr="00435BD7">
        <w:rPr>
          <w:b/>
          <w:color w:val="000000"/>
        </w:rPr>
        <w:t>9</w:t>
      </w:r>
      <w:r w:rsidRPr="00435BD7">
        <w:rPr>
          <w:color w:val="000000"/>
        </w:rPr>
        <w:t>(1): 952. https://doi.org/10.1038/s41598-018-37255-6</w:t>
      </w:r>
    </w:p>
    <w:p w14:paraId="190932D8" w14:textId="1D69D206" w:rsidR="0074706E" w:rsidRPr="00435BD7" w:rsidRDefault="0074706E" w:rsidP="0074706E">
      <w:pPr>
        <w:widowControl w:val="0"/>
        <w:pBdr>
          <w:top w:val="nil"/>
          <w:left w:val="nil"/>
          <w:bottom w:val="nil"/>
          <w:right w:val="nil"/>
          <w:between w:val="nil"/>
        </w:pBdr>
        <w:spacing w:line="480" w:lineRule="auto"/>
        <w:ind w:left="480" w:hanging="480"/>
        <w:rPr>
          <w:color w:val="000000"/>
        </w:rPr>
      </w:pPr>
      <w:r w:rsidRPr="0074706E">
        <w:rPr>
          <w:color w:val="000000"/>
        </w:rPr>
        <w:t>Coe, W. R. (1931). Sexual Rhythm in the California Oyster (</w:t>
      </w:r>
      <w:proofErr w:type="spellStart"/>
      <w:r w:rsidRPr="0074706E">
        <w:rPr>
          <w:color w:val="000000"/>
        </w:rPr>
        <w:t>Ostrea</w:t>
      </w:r>
      <w:proofErr w:type="spellEnd"/>
      <w:r w:rsidRPr="0074706E">
        <w:rPr>
          <w:color w:val="000000"/>
        </w:rPr>
        <w:t xml:space="preserve"> </w:t>
      </w:r>
      <w:proofErr w:type="spellStart"/>
      <w:r w:rsidRPr="0074706E">
        <w:rPr>
          <w:color w:val="000000"/>
        </w:rPr>
        <w:t>lurida</w:t>
      </w:r>
      <w:proofErr w:type="spellEnd"/>
      <w:r w:rsidRPr="0074706E">
        <w:rPr>
          <w:color w:val="000000"/>
        </w:rPr>
        <w:t xml:space="preserve">). </w:t>
      </w:r>
      <w:r w:rsidRPr="0074706E">
        <w:rPr>
          <w:i/>
          <w:iCs/>
          <w:color w:val="000000"/>
        </w:rPr>
        <w:t>Science</w:t>
      </w:r>
      <w:r w:rsidRPr="0074706E">
        <w:rPr>
          <w:color w:val="000000"/>
        </w:rPr>
        <w:t xml:space="preserve">, </w:t>
      </w:r>
      <w:r w:rsidRPr="0074706E">
        <w:rPr>
          <w:b/>
          <w:iCs/>
          <w:color w:val="000000"/>
        </w:rPr>
        <w:t>74</w:t>
      </w:r>
      <w:r w:rsidRPr="0074706E">
        <w:rPr>
          <w:color w:val="000000"/>
        </w:rPr>
        <w:t>(1914)</w:t>
      </w:r>
      <w:r w:rsidR="00424FB9">
        <w:rPr>
          <w:color w:val="000000"/>
        </w:rPr>
        <w:t>:</w:t>
      </w:r>
      <w:r w:rsidRPr="0074706E">
        <w:rPr>
          <w:color w:val="000000"/>
        </w:rPr>
        <w:t xml:space="preserve"> 247–249.</w:t>
      </w:r>
    </w:p>
    <w:p w14:paraId="36B9B386" w14:textId="23002402"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da Silva, P. M., Fuentes, J., &amp; </w:t>
      </w:r>
      <w:proofErr w:type="spellStart"/>
      <w:r w:rsidRPr="00435BD7">
        <w:rPr>
          <w:color w:val="000000"/>
        </w:rPr>
        <w:t>Villalba</w:t>
      </w:r>
      <w:proofErr w:type="spellEnd"/>
      <w:r w:rsidRPr="00435BD7">
        <w:rPr>
          <w:color w:val="000000"/>
        </w:rPr>
        <w:t xml:space="preserve">, A. (2009). Differences in gametogenic cycle among strains of the European flat oyster </w:t>
      </w:r>
      <w:proofErr w:type="spellStart"/>
      <w:r w:rsidRPr="00435BD7">
        <w:rPr>
          <w:color w:val="000000"/>
        </w:rPr>
        <w:t>Ostrea</w:t>
      </w:r>
      <w:proofErr w:type="spellEnd"/>
      <w:r w:rsidRPr="00435BD7">
        <w:rPr>
          <w:color w:val="000000"/>
        </w:rPr>
        <w:t xml:space="preserve"> edulis and relationship between gametogenesis and </w:t>
      </w:r>
      <w:proofErr w:type="spellStart"/>
      <w:r w:rsidRPr="00435BD7">
        <w:rPr>
          <w:color w:val="000000"/>
        </w:rPr>
        <w:t>bonamiosis</w:t>
      </w:r>
      <w:proofErr w:type="spellEnd"/>
      <w:r w:rsidRPr="00435BD7">
        <w:rPr>
          <w:color w:val="000000"/>
        </w:rPr>
        <w:t xml:space="preserve">. </w:t>
      </w:r>
      <w:r w:rsidRPr="00435BD7">
        <w:rPr>
          <w:i/>
          <w:color w:val="000000"/>
        </w:rPr>
        <w:t>Aquaculture</w:t>
      </w:r>
      <w:r w:rsidRPr="00435BD7">
        <w:rPr>
          <w:color w:val="000000"/>
        </w:rPr>
        <w:t xml:space="preserve">, </w:t>
      </w:r>
      <w:r w:rsidRPr="00435BD7">
        <w:rPr>
          <w:b/>
          <w:color w:val="000000"/>
        </w:rPr>
        <w:t>287</w:t>
      </w:r>
      <w:r w:rsidRPr="00435BD7">
        <w:rPr>
          <w:color w:val="000000"/>
        </w:rPr>
        <w:t>(3–4)</w:t>
      </w:r>
      <w:r w:rsidR="00424FB9">
        <w:rPr>
          <w:color w:val="000000"/>
        </w:rPr>
        <w:t>:</w:t>
      </w:r>
      <w:r w:rsidRPr="00435BD7">
        <w:rPr>
          <w:color w:val="000000"/>
        </w:rPr>
        <w:t xml:space="preserve"> 253–265. </w:t>
      </w:r>
      <w:r w:rsidRPr="00435BD7">
        <w:t>https://doi.org/10.1016/j.aquaculture.2008.10.055</w:t>
      </w:r>
    </w:p>
    <w:p w14:paraId="0D28DC0C" w14:textId="3115FB7C"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Diaz, R., </w:t>
      </w:r>
      <w:proofErr w:type="spellStart"/>
      <w:r w:rsidRPr="00435BD7">
        <w:rPr>
          <w:color w:val="000000"/>
        </w:rPr>
        <w:t>Lardies</w:t>
      </w:r>
      <w:proofErr w:type="spellEnd"/>
      <w:r w:rsidRPr="00435BD7">
        <w:rPr>
          <w:color w:val="000000"/>
        </w:rPr>
        <w:t xml:space="preserve">, M. A., Tapia, F. J., </w:t>
      </w:r>
      <w:proofErr w:type="spellStart"/>
      <w:r w:rsidRPr="00435BD7">
        <w:rPr>
          <w:color w:val="000000"/>
        </w:rPr>
        <w:t>Tarifeño</w:t>
      </w:r>
      <w:proofErr w:type="spellEnd"/>
      <w:r w:rsidRPr="00435BD7">
        <w:rPr>
          <w:color w:val="000000"/>
        </w:rPr>
        <w:t xml:space="preserve">, E., &amp; Vargas, C. A. (2018). Transgenerational </w:t>
      </w:r>
      <w:r w:rsidRPr="00435BD7">
        <w:t>e</w:t>
      </w:r>
      <w:r w:rsidRPr="00435BD7">
        <w:rPr>
          <w:color w:val="000000"/>
        </w:rPr>
        <w:t>ffects of pCO</w:t>
      </w:r>
      <w:r w:rsidRPr="00435BD7">
        <w:rPr>
          <w:color w:val="000000"/>
          <w:vertAlign w:val="subscript"/>
        </w:rPr>
        <w:t>2</w:t>
      </w:r>
      <w:r w:rsidRPr="00435BD7">
        <w:rPr>
          <w:color w:val="000000"/>
        </w:rPr>
        <w:t>-</w:t>
      </w:r>
      <w:r w:rsidRPr="00435BD7">
        <w:t>d</w:t>
      </w:r>
      <w:r w:rsidRPr="00435BD7">
        <w:rPr>
          <w:color w:val="000000"/>
        </w:rPr>
        <w:t xml:space="preserve">riven </w:t>
      </w:r>
      <w:r w:rsidRPr="00435BD7">
        <w:t>o</w:t>
      </w:r>
      <w:r w:rsidRPr="00435BD7">
        <w:rPr>
          <w:color w:val="000000"/>
        </w:rPr>
        <w:t xml:space="preserve">cean </w:t>
      </w:r>
      <w:r w:rsidRPr="00435BD7">
        <w:t>a</w:t>
      </w:r>
      <w:r w:rsidRPr="00435BD7">
        <w:rPr>
          <w:color w:val="000000"/>
        </w:rPr>
        <w:t xml:space="preserve">cidification on </w:t>
      </w:r>
      <w:r w:rsidRPr="00435BD7">
        <w:t>a</w:t>
      </w:r>
      <w:r w:rsidRPr="00435BD7">
        <w:rPr>
          <w:color w:val="000000"/>
        </w:rPr>
        <w:t xml:space="preserve">dult </w:t>
      </w:r>
      <w:r w:rsidRPr="00435BD7">
        <w:t>m</w:t>
      </w:r>
      <w:r w:rsidRPr="00435BD7">
        <w:rPr>
          <w:color w:val="000000"/>
        </w:rPr>
        <w:t xml:space="preserve">ussels </w:t>
      </w:r>
      <w:proofErr w:type="spellStart"/>
      <w:r w:rsidRPr="00435BD7">
        <w:rPr>
          <w:color w:val="000000"/>
        </w:rPr>
        <w:t>Mytilus</w:t>
      </w:r>
      <w:proofErr w:type="spellEnd"/>
      <w:r w:rsidRPr="00435BD7">
        <w:rPr>
          <w:color w:val="000000"/>
        </w:rPr>
        <w:t xml:space="preserve"> chilensis </w:t>
      </w:r>
      <w:r w:rsidRPr="00435BD7">
        <w:t>m</w:t>
      </w:r>
      <w:r w:rsidRPr="00435BD7">
        <w:rPr>
          <w:color w:val="000000"/>
        </w:rPr>
        <w:t xml:space="preserve">odulate </w:t>
      </w:r>
      <w:r w:rsidRPr="00435BD7">
        <w:t>p</w:t>
      </w:r>
      <w:r w:rsidRPr="00435BD7">
        <w:rPr>
          <w:color w:val="000000"/>
        </w:rPr>
        <w:t xml:space="preserve">hysiological </w:t>
      </w:r>
      <w:r w:rsidRPr="00435BD7">
        <w:t>r</w:t>
      </w:r>
      <w:r w:rsidRPr="00435BD7">
        <w:rPr>
          <w:color w:val="000000"/>
        </w:rPr>
        <w:t xml:space="preserve">esponse to multiple </w:t>
      </w:r>
      <w:r w:rsidRPr="00435BD7">
        <w:t>s</w:t>
      </w:r>
      <w:r w:rsidRPr="00435BD7">
        <w:rPr>
          <w:color w:val="000000"/>
        </w:rPr>
        <w:t xml:space="preserve">tressors in </w:t>
      </w:r>
      <w:r w:rsidRPr="00435BD7">
        <w:t>l</w:t>
      </w:r>
      <w:r w:rsidRPr="00435BD7">
        <w:rPr>
          <w:color w:val="000000"/>
        </w:rPr>
        <w:t xml:space="preserve">arvae. </w:t>
      </w:r>
      <w:r w:rsidRPr="00435BD7">
        <w:rPr>
          <w:i/>
          <w:color w:val="000000"/>
        </w:rPr>
        <w:t>Frontiers in Physiology</w:t>
      </w:r>
      <w:r w:rsidRPr="00435BD7">
        <w:rPr>
          <w:color w:val="000000"/>
        </w:rPr>
        <w:t xml:space="preserve">, </w:t>
      </w:r>
      <w:r w:rsidRPr="00435BD7">
        <w:rPr>
          <w:b/>
          <w:color w:val="000000"/>
        </w:rPr>
        <w:t>9</w:t>
      </w:r>
      <w:r w:rsidR="00424FB9">
        <w:rPr>
          <w:color w:val="000000"/>
        </w:rPr>
        <w:t>:</w:t>
      </w:r>
      <w:r w:rsidRPr="00435BD7">
        <w:rPr>
          <w:color w:val="000000"/>
        </w:rPr>
        <w:t xml:space="preserve"> 1349. https://doi.org/10.3389/fphys.2018.01349</w:t>
      </w:r>
    </w:p>
    <w:p w14:paraId="738E6CF5" w14:textId="67167459" w:rsidR="00D64A7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Donelson, J. M., Salinas, S., </w:t>
      </w:r>
      <w:proofErr w:type="spellStart"/>
      <w:r w:rsidRPr="00435BD7">
        <w:rPr>
          <w:color w:val="000000"/>
        </w:rPr>
        <w:t>Munday</w:t>
      </w:r>
      <w:proofErr w:type="spellEnd"/>
      <w:r w:rsidRPr="00435BD7">
        <w:rPr>
          <w:color w:val="000000"/>
        </w:rPr>
        <w:t xml:space="preserve">, P. L., &amp; </w:t>
      </w:r>
      <w:proofErr w:type="spellStart"/>
      <w:r w:rsidRPr="00435BD7">
        <w:rPr>
          <w:color w:val="000000"/>
        </w:rPr>
        <w:t>Shama</w:t>
      </w:r>
      <w:proofErr w:type="spellEnd"/>
      <w:r w:rsidRPr="00435BD7">
        <w:rPr>
          <w:color w:val="000000"/>
        </w:rPr>
        <w:t xml:space="preserve">, L. N. S. (2018). Transgenerational plasticity and climate change experiments: Where do we go from here? </w:t>
      </w:r>
      <w:r w:rsidRPr="00435BD7">
        <w:rPr>
          <w:i/>
          <w:color w:val="000000"/>
        </w:rPr>
        <w:t>Global Change Biology</w:t>
      </w:r>
      <w:r w:rsidRPr="00435BD7">
        <w:rPr>
          <w:color w:val="000000"/>
        </w:rPr>
        <w:t xml:space="preserve">, </w:t>
      </w:r>
      <w:r w:rsidRPr="00435BD7">
        <w:rPr>
          <w:b/>
          <w:color w:val="000000"/>
        </w:rPr>
        <w:t>24</w:t>
      </w:r>
      <w:r w:rsidRPr="00435BD7">
        <w:rPr>
          <w:color w:val="000000"/>
        </w:rPr>
        <w:t>(1)</w:t>
      </w:r>
      <w:r w:rsidR="00424FB9">
        <w:rPr>
          <w:color w:val="000000"/>
        </w:rPr>
        <w:t>:</w:t>
      </w:r>
      <w:r w:rsidRPr="00435BD7">
        <w:rPr>
          <w:color w:val="000000"/>
        </w:rPr>
        <w:t xml:space="preserve"> 13–34. https://doi.org/10.1111/gcb.13903</w:t>
      </w:r>
    </w:p>
    <w:p w14:paraId="30163264" w14:textId="597F65AB" w:rsidR="00484E4E" w:rsidRPr="00435BD7" w:rsidRDefault="00484E4E" w:rsidP="00484E4E">
      <w:pPr>
        <w:widowControl w:val="0"/>
        <w:pBdr>
          <w:top w:val="nil"/>
          <w:left w:val="nil"/>
          <w:bottom w:val="nil"/>
          <w:right w:val="nil"/>
          <w:between w:val="nil"/>
        </w:pBdr>
        <w:spacing w:line="480" w:lineRule="auto"/>
        <w:ind w:left="480" w:hanging="480"/>
        <w:rPr>
          <w:color w:val="000000"/>
        </w:rPr>
      </w:pPr>
      <w:proofErr w:type="spellStart"/>
      <w:r w:rsidRPr="00484E4E">
        <w:rPr>
          <w:color w:val="000000"/>
        </w:rPr>
        <w:t>Dumbauld</w:t>
      </w:r>
      <w:proofErr w:type="spellEnd"/>
      <w:r w:rsidRPr="00484E4E">
        <w:rPr>
          <w:color w:val="000000"/>
        </w:rPr>
        <w:t xml:space="preserve">, B. R., </w:t>
      </w:r>
      <w:proofErr w:type="spellStart"/>
      <w:r w:rsidRPr="00484E4E">
        <w:rPr>
          <w:color w:val="000000"/>
        </w:rPr>
        <w:t>Ruesink</w:t>
      </w:r>
      <w:proofErr w:type="spellEnd"/>
      <w:r w:rsidRPr="00484E4E">
        <w:rPr>
          <w:color w:val="000000"/>
        </w:rPr>
        <w:t xml:space="preserve">, J. L., &amp; </w:t>
      </w:r>
      <w:proofErr w:type="spellStart"/>
      <w:r w:rsidRPr="00484E4E">
        <w:rPr>
          <w:color w:val="000000"/>
        </w:rPr>
        <w:t>Rumrill</w:t>
      </w:r>
      <w:proofErr w:type="spellEnd"/>
      <w:r w:rsidRPr="00484E4E">
        <w:rPr>
          <w:color w:val="000000"/>
        </w:rPr>
        <w:t xml:space="preserve">, S. S. (2009). The ecological role of bivalve shellfish </w:t>
      </w:r>
      <w:r w:rsidRPr="00484E4E">
        <w:rPr>
          <w:color w:val="000000"/>
        </w:rPr>
        <w:lastRenderedPageBreak/>
        <w:t xml:space="preserve">aquaculture in the estuarine environment: A review with application to oyster and clam culture in West Coast (USA) estuaries. </w:t>
      </w:r>
      <w:r w:rsidRPr="00484E4E">
        <w:rPr>
          <w:i/>
          <w:iCs/>
          <w:color w:val="000000"/>
        </w:rPr>
        <w:t>Aquaculture</w:t>
      </w:r>
      <w:r w:rsidRPr="00484E4E">
        <w:rPr>
          <w:color w:val="000000"/>
        </w:rPr>
        <w:t xml:space="preserve">, </w:t>
      </w:r>
      <w:r w:rsidRPr="00484E4E">
        <w:rPr>
          <w:b/>
          <w:iCs/>
          <w:color w:val="000000"/>
        </w:rPr>
        <w:t>290</w:t>
      </w:r>
      <w:r w:rsidRPr="00484E4E">
        <w:rPr>
          <w:color w:val="000000"/>
        </w:rPr>
        <w:t>(3)</w:t>
      </w:r>
      <w:r w:rsidR="00424FB9">
        <w:rPr>
          <w:color w:val="000000"/>
        </w:rPr>
        <w:t>:</w:t>
      </w:r>
      <w:r w:rsidRPr="00484E4E">
        <w:rPr>
          <w:color w:val="000000"/>
        </w:rPr>
        <w:t xml:space="preserve"> 196–223.</w:t>
      </w:r>
    </w:p>
    <w:p w14:paraId="39F6E07A" w14:textId="004011C4"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Evans, W., Hales, B., &amp; </w:t>
      </w:r>
      <w:proofErr w:type="spellStart"/>
      <w:r w:rsidRPr="00435BD7">
        <w:rPr>
          <w:color w:val="000000"/>
        </w:rPr>
        <w:t>Strutton</w:t>
      </w:r>
      <w:proofErr w:type="spellEnd"/>
      <w:r w:rsidRPr="00435BD7">
        <w:rPr>
          <w:color w:val="000000"/>
        </w:rPr>
        <w:t>, P. G. (2013). pCO</w:t>
      </w:r>
      <w:r w:rsidRPr="00435BD7">
        <w:rPr>
          <w:color w:val="000000"/>
          <w:vertAlign w:val="subscript"/>
        </w:rPr>
        <w:t>2</w:t>
      </w:r>
      <w:r w:rsidRPr="00435BD7">
        <w:rPr>
          <w:color w:val="000000"/>
        </w:rPr>
        <w:t xml:space="preserve"> distributions and air–water CO</w:t>
      </w:r>
      <w:r w:rsidRPr="00435BD7">
        <w:rPr>
          <w:color w:val="000000"/>
          <w:vertAlign w:val="subscript"/>
        </w:rPr>
        <w:t>2</w:t>
      </w:r>
      <w:r w:rsidRPr="00435BD7">
        <w:rPr>
          <w:color w:val="000000"/>
        </w:rPr>
        <w:t xml:space="preserve"> fluxes in the Columbia River estuary. </w:t>
      </w:r>
      <w:r w:rsidRPr="00435BD7">
        <w:rPr>
          <w:i/>
          <w:color w:val="000000"/>
        </w:rPr>
        <w:t>Estuarine, Coastal and Shelf Science</w:t>
      </w:r>
      <w:r w:rsidRPr="00435BD7">
        <w:rPr>
          <w:color w:val="000000"/>
        </w:rPr>
        <w:t>,</w:t>
      </w:r>
      <w:r w:rsidRPr="00435BD7">
        <w:rPr>
          <w:b/>
          <w:color w:val="000000"/>
        </w:rPr>
        <w:t xml:space="preserve"> 117</w:t>
      </w:r>
      <w:r w:rsidR="00424FB9" w:rsidRPr="00DD64D7">
        <w:rPr>
          <w:color w:val="000000"/>
        </w:rPr>
        <w:t>:</w:t>
      </w:r>
      <w:r w:rsidRPr="00435BD7">
        <w:rPr>
          <w:color w:val="000000"/>
        </w:rPr>
        <w:t xml:space="preserve"> 260–272. https://doi.org/10.1016/j.ecss.2012.12.003</w:t>
      </w:r>
    </w:p>
    <w:p w14:paraId="4F0E6A55" w14:textId="592BFB5D"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Fabioux</w:t>
      </w:r>
      <w:proofErr w:type="spellEnd"/>
      <w:r w:rsidRPr="00435BD7">
        <w:rPr>
          <w:color w:val="000000"/>
        </w:rPr>
        <w:t xml:space="preserve">, C., </w:t>
      </w:r>
      <w:proofErr w:type="spellStart"/>
      <w:r w:rsidRPr="00435BD7">
        <w:rPr>
          <w:color w:val="000000"/>
        </w:rPr>
        <w:t>Huvet</w:t>
      </w:r>
      <w:proofErr w:type="spellEnd"/>
      <w:r w:rsidRPr="00435BD7">
        <w:rPr>
          <w:color w:val="000000"/>
        </w:rPr>
        <w:t xml:space="preserve">, A., Le </w:t>
      </w:r>
      <w:proofErr w:type="spellStart"/>
      <w:r w:rsidRPr="00435BD7">
        <w:rPr>
          <w:color w:val="000000"/>
        </w:rPr>
        <w:t>Souchu</w:t>
      </w:r>
      <w:proofErr w:type="spellEnd"/>
      <w:r w:rsidRPr="00435BD7">
        <w:rPr>
          <w:color w:val="000000"/>
        </w:rPr>
        <w:t xml:space="preserve">, P., Le </w:t>
      </w:r>
      <w:proofErr w:type="spellStart"/>
      <w:r w:rsidRPr="00435BD7">
        <w:rPr>
          <w:color w:val="000000"/>
        </w:rPr>
        <w:t>Pennec</w:t>
      </w:r>
      <w:proofErr w:type="spellEnd"/>
      <w:r w:rsidRPr="00435BD7">
        <w:rPr>
          <w:color w:val="000000"/>
        </w:rPr>
        <w:t xml:space="preserve">, M., &amp; </w:t>
      </w:r>
      <w:proofErr w:type="spellStart"/>
      <w:r w:rsidRPr="00435BD7">
        <w:rPr>
          <w:color w:val="000000"/>
        </w:rPr>
        <w:t>Pouvreau</w:t>
      </w:r>
      <w:proofErr w:type="spellEnd"/>
      <w:r w:rsidRPr="00435BD7">
        <w:rPr>
          <w:color w:val="000000"/>
        </w:rPr>
        <w:t xml:space="preserve">, S. (2005). Temperature and photoperiod drive </w:t>
      </w:r>
      <w:proofErr w:type="spellStart"/>
      <w:r w:rsidRPr="00435BD7">
        <w:rPr>
          <w:color w:val="000000"/>
        </w:rPr>
        <w:t>Crassostrea</w:t>
      </w:r>
      <w:proofErr w:type="spellEnd"/>
      <w:r w:rsidRPr="00435BD7">
        <w:rPr>
          <w:color w:val="000000"/>
        </w:rPr>
        <w:t xml:space="preserve"> </w:t>
      </w:r>
      <w:proofErr w:type="spellStart"/>
      <w:r w:rsidRPr="00435BD7">
        <w:rPr>
          <w:color w:val="000000"/>
        </w:rPr>
        <w:t>gigas</w:t>
      </w:r>
      <w:proofErr w:type="spellEnd"/>
      <w:r w:rsidRPr="00435BD7">
        <w:rPr>
          <w:color w:val="000000"/>
        </w:rPr>
        <w:t xml:space="preserve"> reproductive internal clock. </w:t>
      </w:r>
      <w:r w:rsidRPr="00435BD7">
        <w:rPr>
          <w:i/>
          <w:color w:val="000000"/>
        </w:rPr>
        <w:t>Aquaculture</w:t>
      </w:r>
      <w:r w:rsidRPr="00435BD7">
        <w:rPr>
          <w:color w:val="000000"/>
        </w:rPr>
        <w:t xml:space="preserve">, </w:t>
      </w:r>
      <w:r w:rsidRPr="00435BD7">
        <w:rPr>
          <w:b/>
          <w:color w:val="000000"/>
        </w:rPr>
        <w:t>250</w:t>
      </w:r>
      <w:r w:rsidRPr="00435BD7">
        <w:rPr>
          <w:color w:val="000000"/>
        </w:rPr>
        <w:t>(1–2)</w:t>
      </w:r>
      <w:r w:rsidR="00424FB9">
        <w:rPr>
          <w:color w:val="000000"/>
        </w:rPr>
        <w:t>:</w:t>
      </w:r>
      <w:r w:rsidRPr="00435BD7">
        <w:rPr>
          <w:color w:val="000000"/>
        </w:rPr>
        <w:t xml:space="preserve"> 458–470. https://doi.org/10.1016/j.aquaculture.2005.02.038</w:t>
      </w:r>
    </w:p>
    <w:p w14:paraId="771219B0" w14:textId="6FD003D3" w:rsidR="00D64A77" w:rsidRPr="00435BD7" w:rsidRDefault="001554ED" w:rsidP="00C56A3D">
      <w:pPr>
        <w:widowControl w:val="0"/>
        <w:pBdr>
          <w:top w:val="nil"/>
          <w:left w:val="nil"/>
          <w:bottom w:val="nil"/>
          <w:right w:val="nil"/>
          <w:between w:val="nil"/>
        </w:pBdr>
        <w:spacing w:line="480" w:lineRule="auto"/>
        <w:ind w:left="480" w:hanging="480"/>
      </w:pPr>
      <w:r w:rsidRPr="00435BD7">
        <w:t>Feely, R. A., Sabine, C. L., Hernandez-</w:t>
      </w:r>
      <w:proofErr w:type="spellStart"/>
      <w:r w:rsidRPr="00435BD7">
        <w:t>Ayon</w:t>
      </w:r>
      <w:proofErr w:type="spellEnd"/>
      <w:r w:rsidRPr="00435BD7">
        <w:t xml:space="preserve">, J. M., </w:t>
      </w:r>
      <w:proofErr w:type="spellStart"/>
      <w:r w:rsidRPr="00435BD7">
        <w:t>Ianson</w:t>
      </w:r>
      <w:proofErr w:type="spellEnd"/>
      <w:r w:rsidRPr="00435BD7">
        <w:t xml:space="preserve">, D., &amp; Hales, B. (2008). Evidence for upwelling of corrosive “acidified” water onto the continental shelf. </w:t>
      </w:r>
      <w:r w:rsidRPr="00435BD7">
        <w:rPr>
          <w:i/>
        </w:rPr>
        <w:t>Science</w:t>
      </w:r>
      <w:r w:rsidRPr="00435BD7">
        <w:t xml:space="preserve">, </w:t>
      </w:r>
      <w:r w:rsidRPr="00435BD7">
        <w:rPr>
          <w:b/>
        </w:rPr>
        <w:t>320</w:t>
      </w:r>
      <w:r w:rsidRPr="00435BD7">
        <w:t>(5882)</w:t>
      </w:r>
      <w:r w:rsidR="00424FB9">
        <w:rPr>
          <w:b/>
        </w:rPr>
        <w:t>:</w:t>
      </w:r>
      <w:r w:rsidRPr="00435BD7">
        <w:t xml:space="preserve"> 1490–1492. https://doi.org/10.1126/science.1155676</w:t>
      </w:r>
    </w:p>
    <w:p w14:paraId="0C707AD6" w14:textId="7D6D1E56"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Feely, R. A., Klinger, T., Newton, J. A., &amp; </w:t>
      </w:r>
      <w:proofErr w:type="spellStart"/>
      <w:r w:rsidRPr="00435BD7">
        <w:rPr>
          <w:color w:val="000000"/>
        </w:rPr>
        <w:t>Chadsey</w:t>
      </w:r>
      <w:proofErr w:type="spellEnd"/>
      <w:r w:rsidRPr="00435BD7">
        <w:rPr>
          <w:color w:val="000000"/>
        </w:rPr>
        <w:t xml:space="preserve">, M. (2012). Scientific summary of ocean acidification in Washington State marine waters. NOAA OAR Special Report. Retrieved from </w:t>
      </w:r>
      <w:r w:rsidRPr="00435BD7">
        <w:t>https://fortress.wa.gov/ecy/publications/documents/1201016.pdf</w:t>
      </w:r>
    </w:p>
    <w:p w14:paraId="52252DFF" w14:textId="491F341C"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Fox, J., &amp; Weisberg, S. (2011). </w:t>
      </w:r>
      <w:r w:rsidRPr="00435BD7">
        <w:rPr>
          <w:i/>
          <w:color w:val="000000"/>
        </w:rPr>
        <w:t>An R Companion to Applied Regression</w:t>
      </w:r>
      <w:r w:rsidRPr="00435BD7">
        <w:rPr>
          <w:color w:val="000000"/>
        </w:rPr>
        <w:t>. SAGE Publications, Inc. Retrieved from http://socserv.socsci.mcmaster.ca/jfox/Books/Companion</w:t>
      </w:r>
    </w:p>
    <w:p w14:paraId="776269B3" w14:textId="70592AB5"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Gavery</w:t>
      </w:r>
      <w:proofErr w:type="spellEnd"/>
      <w:r w:rsidRPr="00435BD7">
        <w:rPr>
          <w:color w:val="000000"/>
        </w:rPr>
        <w:t xml:space="preserve">, M. R., &amp; Roberts, S. B. (2014). A context dependent role for DNA methylation in bivalves. </w:t>
      </w:r>
      <w:r w:rsidRPr="00435BD7">
        <w:rPr>
          <w:i/>
          <w:color w:val="000000"/>
        </w:rPr>
        <w:t>Briefings in Functional Genomics</w:t>
      </w:r>
      <w:r w:rsidRPr="00435BD7">
        <w:rPr>
          <w:color w:val="000000"/>
        </w:rPr>
        <w:t xml:space="preserve">, </w:t>
      </w:r>
      <w:r w:rsidRPr="00435BD7">
        <w:rPr>
          <w:b/>
          <w:color w:val="000000"/>
        </w:rPr>
        <w:t>13</w:t>
      </w:r>
      <w:r w:rsidRPr="00435BD7">
        <w:rPr>
          <w:color w:val="000000"/>
        </w:rPr>
        <w:t>(3)</w:t>
      </w:r>
      <w:r w:rsidR="00424FB9">
        <w:rPr>
          <w:color w:val="000000"/>
        </w:rPr>
        <w:t>:</w:t>
      </w:r>
      <w:r w:rsidRPr="00435BD7">
        <w:rPr>
          <w:color w:val="000000"/>
        </w:rPr>
        <w:t xml:space="preserve"> 217–222. https://doi.org/10.1093/bfgp/elt054</w:t>
      </w:r>
    </w:p>
    <w:p w14:paraId="157DDE9B" w14:textId="21A3823D"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Gentemann</w:t>
      </w:r>
      <w:proofErr w:type="spellEnd"/>
      <w:r w:rsidRPr="00435BD7">
        <w:rPr>
          <w:color w:val="000000"/>
        </w:rPr>
        <w:t xml:space="preserve">, C. L., </w:t>
      </w:r>
      <w:proofErr w:type="spellStart"/>
      <w:r w:rsidRPr="00435BD7">
        <w:rPr>
          <w:color w:val="000000"/>
        </w:rPr>
        <w:t>Fewings</w:t>
      </w:r>
      <w:proofErr w:type="spellEnd"/>
      <w:r w:rsidRPr="00435BD7">
        <w:rPr>
          <w:color w:val="000000"/>
        </w:rPr>
        <w:t xml:space="preserve">, M. R., &amp; García-Reyes, M. (2017). Satellite sea surface temperatures along the West Coast of the United States during the 2014-2016 northeast Pacific marine heat wave: Coastal SSTs During “the Blob.” </w:t>
      </w:r>
      <w:r w:rsidRPr="00435BD7">
        <w:rPr>
          <w:i/>
          <w:color w:val="000000"/>
        </w:rPr>
        <w:t>Geophysical Research Letters</w:t>
      </w:r>
      <w:r w:rsidRPr="00435BD7">
        <w:rPr>
          <w:color w:val="000000"/>
        </w:rPr>
        <w:t xml:space="preserve">, </w:t>
      </w:r>
      <w:r w:rsidRPr="00435BD7">
        <w:rPr>
          <w:b/>
          <w:color w:val="000000"/>
        </w:rPr>
        <w:t>44</w:t>
      </w:r>
      <w:r w:rsidRPr="00435BD7">
        <w:rPr>
          <w:color w:val="000000"/>
        </w:rPr>
        <w:t>(1)</w:t>
      </w:r>
      <w:r w:rsidR="00424FB9">
        <w:rPr>
          <w:color w:val="000000"/>
        </w:rPr>
        <w:t>:</w:t>
      </w:r>
      <w:r w:rsidRPr="00435BD7">
        <w:rPr>
          <w:color w:val="000000"/>
        </w:rPr>
        <w:t xml:space="preserve"> 312–319. https://doi.org/10.1002/2016GL071039</w:t>
      </w:r>
    </w:p>
    <w:p w14:paraId="18D1AD6A" w14:textId="7CE08318"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lastRenderedPageBreak/>
        <w:t xml:space="preserve">Giese, A. C. (1959). Comparative physiology: annual reproductive cycles of marine invertebrates. </w:t>
      </w:r>
      <w:r w:rsidRPr="00435BD7">
        <w:rPr>
          <w:i/>
          <w:color w:val="000000"/>
        </w:rPr>
        <w:t>Annual Review of Physiology</w:t>
      </w:r>
      <w:r w:rsidRPr="00435BD7">
        <w:rPr>
          <w:color w:val="000000"/>
        </w:rPr>
        <w:t xml:space="preserve">, </w:t>
      </w:r>
      <w:r w:rsidRPr="00435BD7">
        <w:rPr>
          <w:b/>
          <w:color w:val="000000"/>
        </w:rPr>
        <w:t>21</w:t>
      </w:r>
      <w:r w:rsidR="00424FB9">
        <w:rPr>
          <w:color w:val="000000"/>
        </w:rPr>
        <w:t>:</w:t>
      </w:r>
      <w:r w:rsidRPr="00435BD7">
        <w:rPr>
          <w:color w:val="000000"/>
        </w:rPr>
        <w:t xml:space="preserve"> 547–576. https://doi.org/10.1146/annurev.ph.21.030159.002555</w:t>
      </w:r>
    </w:p>
    <w:p w14:paraId="3EF66B76" w14:textId="77777777"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Gray, M. W., Chaparro O., </w:t>
      </w:r>
      <w:proofErr w:type="spellStart"/>
      <w:r w:rsidRPr="00435BD7">
        <w:rPr>
          <w:color w:val="000000"/>
        </w:rPr>
        <w:t>Huebert</w:t>
      </w:r>
      <w:proofErr w:type="spellEnd"/>
      <w:r w:rsidRPr="00435BD7">
        <w:rPr>
          <w:color w:val="000000"/>
        </w:rPr>
        <w:t xml:space="preserve"> K. B., O’Neill, S. P., Couture, T., Moreira A., Brady, D. C. (</w:t>
      </w:r>
      <w:r w:rsidRPr="00435BD7">
        <w:rPr>
          <w:i/>
        </w:rPr>
        <w:t>in press</w:t>
      </w:r>
      <w:r w:rsidRPr="00435BD7">
        <w:rPr>
          <w:color w:val="000000"/>
        </w:rPr>
        <w:t xml:space="preserve">). Does brooding prepare young for tomorrow's acidic oceans and estuaries? </w:t>
      </w:r>
      <w:r w:rsidRPr="00435BD7">
        <w:rPr>
          <w:i/>
          <w:color w:val="000000"/>
        </w:rPr>
        <w:t>Journal of Shellfish Research.</w:t>
      </w:r>
    </w:p>
    <w:p w14:paraId="0E85714D" w14:textId="7B2A0101"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Griffith, A. W., &amp; </w:t>
      </w:r>
      <w:proofErr w:type="spellStart"/>
      <w:r w:rsidRPr="00435BD7">
        <w:rPr>
          <w:color w:val="000000"/>
        </w:rPr>
        <w:t>Gobler</w:t>
      </w:r>
      <w:proofErr w:type="spellEnd"/>
      <w:r w:rsidRPr="00435BD7">
        <w:rPr>
          <w:color w:val="000000"/>
        </w:rPr>
        <w:t xml:space="preserve">, C. J. (2017). Transgenerational exposure of North Atlantic bivalves to ocean acidification renders offspring more vulnerable to low pH and additional stressors. </w:t>
      </w:r>
      <w:r w:rsidRPr="00435BD7">
        <w:rPr>
          <w:i/>
          <w:color w:val="000000"/>
        </w:rPr>
        <w:t>Scientific Reports</w:t>
      </w:r>
      <w:r w:rsidRPr="00435BD7">
        <w:rPr>
          <w:color w:val="000000"/>
        </w:rPr>
        <w:t xml:space="preserve">, </w:t>
      </w:r>
      <w:r w:rsidRPr="00435BD7">
        <w:rPr>
          <w:b/>
          <w:color w:val="000000"/>
        </w:rPr>
        <w:t>7</w:t>
      </w:r>
      <w:r w:rsidRPr="00435BD7">
        <w:rPr>
          <w:color w:val="000000"/>
        </w:rPr>
        <w:t>(1)</w:t>
      </w:r>
      <w:r w:rsidR="00424FB9">
        <w:rPr>
          <w:color w:val="000000"/>
        </w:rPr>
        <w:t>:</w:t>
      </w:r>
      <w:r w:rsidRPr="00435BD7">
        <w:rPr>
          <w:color w:val="000000"/>
        </w:rPr>
        <w:t xml:space="preserve"> 11394. https://doi.org/10.1038/s41598-017-11442-3</w:t>
      </w:r>
    </w:p>
    <w:p w14:paraId="30584BE0" w14:textId="0553DAE2"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Heare</w:t>
      </w:r>
      <w:proofErr w:type="spellEnd"/>
      <w:r w:rsidRPr="00435BD7">
        <w:rPr>
          <w:color w:val="000000"/>
        </w:rPr>
        <w:t xml:space="preserve">, J. E., Blake, B., Davis, J. P., </w:t>
      </w:r>
      <w:proofErr w:type="spellStart"/>
      <w:r w:rsidRPr="00435BD7">
        <w:rPr>
          <w:color w:val="000000"/>
        </w:rPr>
        <w:t>Vadopalas</w:t>
      </w:r>
      <w:proofErr w:type="spellEnd"/>
      <w:r w:rsidRPr="00435BD7">
        <w:rPr>
          <w:color w:val="000000"/>
        </w:rPr>
        <w:t xml:space="preserve">, B., &amp; Roberts, S. B. (2017). Evidence of </w:t>
      </w:r>
      <w:proofErr w:type="spellStart"/>
      <w:r w:rsidRPr="00435BD7">
        <w:rPr>
          <w:color w:val="000000"/>
        </w:rPr>
        <w:t>Ostrea</w:t>
      </w:r>
      <w:proofErr w:type="spellEnd"/>
      <w:r w:rsidRPr="00435BD7">
        <w:rPr>
          <w:color w:val="000000"/>
        </w:rPr>
        <w:t xml:space="preserve"> </w:t>
      </w:r>
      <w:proofErr w:type="spellStart"/>
      <w:r w:rsidRPr="00435BD7">
        <w:rPr>
          <w:color w:val="000000"/>
        </w:rPr>
        <w:t>lurida</w:t>
      </w:r>
      <w:proofErr w:type="spellEnd"/>
      <w:r w:rsidRPr="00435BD7">
        <w:rPr>
          <w:color w:val="000000"/>
        </w:rPr>
        <w:t xml:space="preserve"> Carpenter, 1864, population structure in Puget Sound, WA, USA. </w:t>
      </w:r>
      <w:r w:rsidRPr="00435BD7">
        <w:rPr>
          <w:i/>
          <w:color w:val="000000"/>
        </w:rPr>
        <w:t>Marine Ecology</w:t>
      </w:r>
      <w:r w:rsidR="00424FB9" w:rsidRPr="00DD64D7">
        <w:rPr>
          <w:color w:val="000000"/>
        </w:rPr>
        <w:t xml:space="preserve">, </w:t>
      </w:r>
      <w:r w:rsidRPr="00435BD7">
        <w:rPr>
          <w:b/>
          <w:color w:val="000000"/>
        </w:rPr>
        <w:t>38</w:t>
      </w:r>
      <w:r w:rsidRPr="00435BD7">
        <w:rPr>
          <w:color w:val="000000"/>
        </w:rPr>
        <w:t>(5)</w:t>
      </w:r>
      <w:r w:rsidR="00424FB9">
        <w:rPr>
          <w:color w:val="000000"/>
        </w:rPr>
        <w:t xml:space="preserve">: </w:t>
      </w:r>
      <w:r w:rsidR="00424FB9" w:rsidRPr="00424FB9">
        <w:rPr>
          <w:color w:val="000000"/>
        </w:rPr>
        <w:t>e12458</w:t>
      </w:r>
      <w:r w:rsidRPr="00435BD7">
        <w:rPr>
          <w:color w:val="000000"/>
        </w:rPr>
        <w:t>. https://doi.org/10.1111/maec.12458</w:t>
      </w:r>
    </w:p>
    <w:p w14:paraId="46638CFE" w14:textId="6D84C061"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Heare</w:t>
      </w:r>
      <w:proofErr w:type="spellEnd"/>
      <w:r w:rsidRPr="00435BD7">
        <w:rPr>
          <w:color w:val="000000"/>
        </w:rPr>
        <w:t xml:space="preserve">, J. E., White, S. J., </w:t>
      </w:r>
      <w:proofErr w:type="spellStart"/>
      <w:r w:rsidRPr="00435BD7">
        <w:rPr>
          <w:color w:val="000000"/>
        </w:rPr>
        <w:t>Vadopalas</w:t>
      </w:r>
      <w:proofErr w:type="spellEnd"/>
      <w:r w:rsidRPr="00435BD7">
        <w:rPr>
          <w:color w:val="000000"/>
        </w:rPr>
        <w:t xml:space="preserve">, B., &amp; Roberts, S. B. (2018). Differential response to stress in </w:t>
      </w:r>
      <w:proofErr w:type="spellStart"/>
      <w:r w:rsidRPr="00435BD7">
        <w:rPr>
          <w:color w:val="000000"/>
        </w:rPr>
        <w:t>Ostrea</w:t>
      </w:r>
      <w:proofErr w:type="spellEnd"/>
      <w:r w:rsidRPr="00435BD7">
        <w:rPr>
          <w:color w:val="000000"/>
        </w:rPr>
        <w:t xml:space="preserve"> </w:t>
      </w:r>
      <w:proofErr w:type="spellStart"/>
      <w:r w:rsidRPr="00435BD7">
        <w:rPr>
          <w:color w:val="000000"/>
        </w:rPr>
        <w:t>lurida</w:t>
      </w:r>
      <w:proofErr w:type="spellEnd"/>
      <w:r w:rsidRPr="00435BD7">
        <w:rPr>
          <w:color w:val="000000"/>
        </w:rPr>
        <w:t xml:space="preserve"> as measured by gene expression. </w:t>
      </w:r>
      <w:proofErr w:type="spellStart"/>
      <w:r w:rsidRPr="00435BD7">
        <w:rPr>
          <w:i/>
          <w:color w:val="000000"/>
        </w:rPr>
        <w:t>PeerJ</w:t>
      </w:r>
      <w:proofErr w:type="spellEnd"/>
      <w:r w:rsidRPr="00435BD7">
        <w:rPr>
          <w:color w:val="000000"/>
        </w:rPr>
        <w:t xml:space="preserve">, </w:t>
      </w:r>
      <w:r w:rsidRPr="00435BD7">
        <w:rPr>
          <w:b/>
          <w:color w:val="000000"/>
        </w:rPr>
        <w:t>6</w:t>
      </w:r>
      <w:r w:rsidR="00424FB9">
        <w:rPr>
          <w:color w:val="000000"/>
        </w:rPr>
        <w:t>:</w:t>
      </w:r>
      <w:r w:rsidRPr="00435BD7">
        <w:rPr>
          <w:color w:val="000000"/>
        </w:rPr>
        <w:t xml:space="preserve"> e4261. https://doi.org/10.7717/peerj.4261</w:t>
      </w:r>
    </w:p>
    <w:p w14:paraId="7424C416" w14:textId="17E7E84C"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Helm, M. M.</w:t>
      </w:r>
      <w:r w:rsidRPr="00435BD7">
        <w:t xml:space="preserve"> &amp; Bourne, N. </w:t>
      </w:r>
      <w:r w:rsidRPr="00435BD7">
        <w:rPr>
          <w:color w:val="000000"/>
        </w:rPr>
        <w:t>(2004). Hatchery culture of bivalves: a practical manual. Food and agriculture organization of the United Nations</w:t>
      </w:r>
      <w:r w:rsidRPr="00435BD7">
        <w:t xml:space="preserve">. </w:t>
      </w:r>
      <w:r w:rsidRPr="00435BD7">
        <w:rPr>
          <w:color w:val="000000"/>
        </w:rPr>
        <w:t>Retrieved from http://www.sidalc.net/cgi-bin/wxis.exe/?IsisScript=UACHBC.xis&amp;method=post&amp;formato=2&amp;cantidad=1&amp;expresion=mfn=102646</w:t>
      </w:r>
    </w:p>
    <w:p w14:paraId="41837BB3" w14:textId="3F0DD96B"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Hettinger, A., Sanford, E., Hill, T. M., Lenz, E. A., Russell, A. D., &amp; Gaylord, B. (2013). Larval carry-over effects from ocean acidification persist in the natural environment. </w:t>
      </w:r>
      <w:r w:rsidRPr="00435BD7">
        <w:rPr>
          <w:i/>
          <w:color w:val="000000"/>
        </w:rPr>
        <w:t>Global Change Biology</w:t>
      </w:r>
      <w:r w:rsidRPr="00435BD7">
        <w:rPr>
          <w:color w:val="000000"/>
        </w:rPr>
        <w:t xml:space="preserve">, </w:t>
      </w:r>
      <w:r w:rsidRPr="00435BD7">
        <w:rPr>
          <w:b/>
          <w:color w:val="000000"/>
        </w:rPr>
        <w:t>19</w:t>
      </w:r>
      <w:r w:rsidRPr="00435BD7">
        <w:rPr>
          <w:color w:val="000000"/>
        </w:rPr>
        <w:t>(11)</w:t>
      </w:r>
      <w:r w:rsidR="00424FB9">
        <w:rPr>
          <w:color w:val="000000"/>
        </w:rPr>
        <w:t>:</w:t>
      </w:r>
      <w:r w:rsidRPr="00435BD7">
        <w:rPr>
          <w:color w:val="000000"/>
        </w:rPr>
        <w:t xml:space="preserve"> 3317–3326. Retrieved from</w:t>
      </w:r>
      <w:r w:rsidRPr="00435BD7">
        <w:t xml:space="preserve"> http://www.fao.org/3/a-y5720e.pdf</w:t>
      </w:r>
    </w:p>
    <w:p w14:paraId="6C2D57AB" w14:textId="641EEC93"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Hettinger, A., Sanford, E., Hill, T. M., Russell, A. D., Sato, K. N., </w:t>
      </w:r>
      <w:proofErr w:type="spellStart"/>
      <w:r w:rsidRPr="00435BD7">
        <w:rPr>
          <w:color w:val="000000"/>
        </w:rPr>
        <w:t>Hoey</w:t>
      </w:r>
      <w:proofErr w:type="spellEnd"/>
      <w:r w:rsidRPr="00435BD7">
        <w:rPr>
          <w:color w:val="000000"/>
        </w:rPr>
        <w:t>, J.,</w:t>
      </w:r>
      <w:r w:rsidRPr="00435BD7">
        <w:t xml:space="preserve"> </w:t>
      </w:r>
      <w:proofErr w:type="spellStart"/>
      <w:r w:rsidRPr="00435BD7">
        <w:t>Forsch</w:t>
      </w:r>
      <w:proofErr w:type="spellEnd"/>
      <w:r w:rsidRPr="00435BD7">
        <w:t xml:space="preserve">, M., Page, H. </w:t>
      </w:r>
      <w:r w:rsidRPr="00435BD7">
        <w:lastRenderedPageBreak/>
        <w:t xml:space="preserve">N., </w:t>
      </w:r>
      <w:r w:rsidRPr="00435BD7">
        <w:rPr>
          <w:color w:val="000000"/>
        </w:rPr>
        <w:t xml:space="preserve">Gaylord, B. (2012). Persistent carry-over effects of planktonic exposure to ocean acidification in the Olympia oyster. </w:t>
      </w:r>
      <w:r w:rsidRPr="00435BD7">
        <w:rPr>
          <w:i/>
          <w:color w:val="000000"/>
        </w:rPr>
        <w:t>Ecology</w:t>
      </w:r>
      <w:r w:rsidRPr="00435BD7">
        <w:rPr>
          <w:color w:val="000000"/>
        </w:rPr>
        <w:t xml:space="preserve">, </w:t>
      </w:r>
      <w:r w:rsidRPr="00435BD7">
        <w:rPr>
          <w:b/>
          <w:color w:val="000000"/>
        </w:rPr>
        <w:t>93</w:t>
      </w:r>
      <w:r w:rsidRPr="00435BD7">
        <w:rPr>
          <w:color w:val="000000"/>
        </w:rPr>
        <w:t>(12)</w:t>
      </w:r>
      <w:r w:rsidR="00424FB9">
        <w:rPr>
          <w:color w:val="000000"/>
        </w:rPr>
        <w:t>:</w:t>
      </w:r>
      <w:r w:rsidRPr="00435BD7">
        <w:rPr>
          <w:color w:val="000000"/>
        </w:rPr>
        <w:t xml:space="preserve"> 2758–2768. https://doi.org/10.1890/12-0567.1</w:t>
      </w:r>
    </w:p>
    <w:p w14:paraId="0DD45943" w14:textId="42930AE8" w:rsidR="00F44BCB" w:rsidRPr="00435BD7" w:rsidRDefault="00F44BCB" w:rsidP="00F44BCB">
      <w:pPr>
        <w:widowControl w:val="0"/>
        <w:pBdr>
          <w:top w:val="nil"/>
          <w:left w:val="nil"/>
          <w:bottom w:val="nil"/>
          <w:right w:val="nil"/>
          <w:between w:val="nil"/>
        </w:pBdr>
        <w:spacing w:line="480" w:lineRule="auto"/>
        <w:ind w:left="480" w:hanging="480"/>
        <w:rPr>
          <w:color w:val="000000"/>
        </w:rPr>
      </w:pPr>
      <w:r w:rsidRPr="00F44BCB">
        <w:rPr>
          <w:color w:val="000000"/>
        </w:rPr>
        <w:t xml:space="preserve">Hofmann, G. E., Barry, J. P., Edmunds, P. J., Gates, R. D., Hutchins, D. A., Klinger, T., &amp; Sewell, M. A. (2010). The Effect of Ocean Acidification on Calcifying Organisms in Marine Ecosystems: An Organism-to-Ecosystem Perspective. </w:t>
      </w:r>
      <w:r w:rsidRPr="00F44BCB">
        <w:rPr>
          <w:i/>
          <w:iCs/>
          <w:color w:val="000000"/>
        </w:rPr>
        <w:t>Annual Review of Ecology, Evolution, and Systematics</w:t>
      </w:r>
      <w:r w:rsidRPr="00F44BCB">
        <w:rPr>
          <w:color w:val="000000"/>
        </w:rPr>
        <w:t xml:space="preserve">, </w:t>
      </w:r>
      <w:r w:rsidRPr="00F44BCB">
        <w:rPr>
          <w:b/>
          <w:iCs/>
          <w:color w:val="000000"/>
        </w:rPr>
        <w:t>41</w:t>
      </w:r>
      <w:r w:rsidR="00424FB9">
        <w:rPr>
          <w:color w:val="000000"/>
        </w:rPr>
        <w:t>:</w:t>
      </w:r>
      <w:r w:rsidRPr="00435BD7">
        <w:rPr>
          <w:color w:val="000000"/>
        </w:rPr>
        <w:t xml:space="preserve"> </w:t>
      </w:r>
      <w:r w:rsidRPr="00F44BCB">
        <w:rPr>
          <w:color w:val="000000"/>
        </w:rPr>
        <w:t>127–147.</w:t>
      </w:r>
      <w:r w:rsidRPr="00435BD7">
        <w:rPr>
          <w:color w:val="000000"/>
        </w:rPr>
        <w:t xml:space="preserve">  https://doi.org/10.1146/annurev.ecolsys.110308.120227</w:t>
      </w:r>
    </w:p>
    <w:p w14:paraId="22892C91" w14:textId="4615D6FC"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Hopkins, A. E. (1936). Ecological Observations on Spawning and Early Larval Development in the Olympia Oyster (</w:t>
      </w:r>
      <w:proofErr w:type="spellStart"/>
      <w:r w:rsidRPr="00435BD7">
        <w:rPr>
          <w:color w:val="000000"/>
        </w:rPr>
        <w:t>Ostrea</w:t>
      </w:r>
      <w:proofErr w:type="spellEnd"/>
      <w:r w:rsidRPr="00435BD7">
        <w:rPr>
          <w:color w:val="000000"/>
        </w:rPr>
        <w:t xml:space="preserve"> </w:t>
      </w:r>
      <w:proofErr w:type="spellStart"/>
      <w:r w:rsidRPr="00435BD7">
        <w:rPr>
          <w:color w:val="000000"/>
        </w:rPr>
        <w:t>Lurida</w:t>
      </w:r>
      <w:proofErr w:type="spellEnd"/>
      <w:r w:rsidRPr="00435BD7">
        <w:rPr>
          <w:color w:val="000000"/>
        </w:rPr>
        <w:t xml:space="preserve">). </w:t>
      </w:r>
      <w:r w:rsidRPr="00435BD7">
        <w:rPr>
          <w:i/>
          <w:color w:val="000000"/>
        </w:rPr>
        <w:t>Ecology</w:t>
      </w:r>
      <w:r w:rsidRPr="00435BD7">
        <w:rPr>
          <w:color w:val="000000"/>
        </w:rPr>
        <w:t xml:space="preserve">, </w:t>
      </w:r>
      <w:r w:rsidRPr="00435BD7">
        <w:rPr>
          <w:b/>
          <w:color w:val="000000"/>
        </w:rPr>
        <w:t>17</w:t>
      </w:r>
      <w:r w:rsidRPr="00435BD7">
        <w:rPr>
          <w:color w:val="000000"/>
        </w:rPr>
        <w:t>(4)</w:t>
      </w:r>
      <w:r w:rsidR="00424FB9">
        <w:rPr>
          <w:color w:val="000000"/>
        </w:rPr>
        <w:t>:</w:t>
      </w:r>
      <w:r w:rsidRPr="00435BD7">
        <w:rPr>
          <w:color w:val="000000"/>
        </w:rPr>
        <w:t xml:space="preserve"> 551–566. https://doi.org/10.2307/1932760</w:t>
      </w:r>
    </w:p>
    <w:p w14:paraId="037F6A75" w14:textId="7CE46CE9"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Hopkins, A. E. (1937). Experimental observations on spawning, larval development, and setting in the </w:t>
      </w:r>
      <w:proofErr w:type="spellStart"/>
      <w:r w:rsidRPr="00435BD7">
        <w:rPr>
          <w:color w:val="000000"/>
        </w:rPr>
        <w:t>olympia</w:t>
      </w:r>
      <w:proofErr w:type="spellEnd"/>
      <w:r w:rsidRPr="00435BD7">
        <w:rPr>
          <w:color w:val="000000"/>
        </w:rPr>
        <w:t xml:space="preserve"> oyster. </w:t>
      </w:r>
      <w:r w:rsidRPr="00435BD7">
        <w:rPr>
          <w:i/>
          <w:color w:val="000000"/>
        </w:rPr>
        <w:t>United States Bureau of Fisheries Bulletin</w:t>
      </w:r>
      <w:r w:rsidRPr="00435BD7">
        <w:rPr>
          <w:color w:val="000000"/>
        </w:rPr>
        <w:t>.</w:t>
      </w:r>
      <w:r w:rsidRPr="00435BD7">
        <w:t xml:space="preserve"> 48:438–503.</w:t>
      </w:r>
    </w:p>
    <w:p w14:paraId="4A23AB52" w14:textId="39BA359F"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IPCC, 2013: Climate Change 2013: The Physical Science Basis. Contribution of Working Group I to the Fifth Assessment Report of the Intergovernmental Panel on Climate Change [Stocker, T.F., D. Qin, G.-K. Plattner, M. </w:t>
      </w:r>
      <w:proofErr w:type="spellStart"/>
      <w:r w:rsidRPr="00435BD7">
        <w:rPr>
          <w:color w:val="000000"/>
        </w:rPr>
        <w:t>Tignor</w:t>
      </w:r>
      <w:proofErr w:type="spellEnd"/>
      <w:r w:rsidRPr="00435BD7">
        <w:rPr>
          <w:color w:val="000000"/>
        </w:rPr>
        <w:t xml:space="preserve">, S.K. Allen, J. </w:t>
      </w:r>
      <w:proofErr w:type="spellStart"/>
      <w:r w:rsidRPr="00435BD7">
        <w:rPr>
          <w:color w:val="000000"/>
        </w:rPr>
        <w:t>Boschung</w:t>
      </w:r>
      <w:proofErr w:type="spellEnd"/>
      <w:r w:rsidRPr="00435BD7">
        <w:rPr>
          <w:color w:val="000000"/>
        </w:rPr>
        <w:t xml:space="preserve">, A. </w:t>
      </w:r>
      <w:proofErr w:type="spellStart"/>
      <w:r w:rsidRPr="00435BD7">
        <w:rPr>
          <w:color w:val="000000"/>
        </w:rPr>
        <w:t>Nauels</w:t>
      </w:r>
      <w:proofErr w:type="spellEnd"/>
      <w:r w:rsidRPr="00435BD7">
        <w:rPr>
          <w:color w:val="000000"/>
        </w:rPr>
        <w:t>, Y. Xia, V. Bex and P.M. Midgley (eds.)]. Cambridge University Press, Cambridge, United Kingdom and New York, NY, USA, 1535 pp</w:t>
      </w:r>
      <w:r w:rsidR="00424FB9">
        <w:rPr>
          <w:color w:val="000000"/>
        </w:rPr>
        <w:t>.</w:t>
      </w:r>
      <w:r w:rsidRPr="00435BD7">
        <w:rPr>
          <w:color w:val="000000"/>
        </w:rPr>
        <w:t xml:space="preserve"> doi:10.1017/CBO9781107415324.</w:t>
      </w:r>
    </w:p>
    <w:p w14:paraId="4B164DAB" w14:textId="0256F9B6" w:rsidR="00C445FE" w:rsidRPr="00435BD7" w:rsidRDefault="00C445FE" w:rsidP="00C445FE">
      <w:pPr>
        <w:widowControl w:val="0"/>
        <w:pBdr>
          <w:top w:val="nil"/>
          <w:left w:val="nil"/>
          <w:bottom w:val="nil"/>
          <w:right w:val="nil"/>
          <w:between w:val="nil"/>
        </w:pBdr>
        <w:spacing w:line="480" w:lineRule="auto"/>
        <w:ind w:left="480" w:hanging="480"/>
        <w:rPr>
          <w:color w:val="000000"/>
        </w:rPr>
      </w:pPr>
      <w:r w:rsidRPr="00C445FE">
        <w:rPr>
          <w:color w:val="000000"/>
        </w:rPr>
        <w:t xml:space="preserve">IPCC, 2019: Summary for Policymakers. In: IPCC Special Report on the Ocean and Cryosphere in a Changing Climate [H.-O. </w:t>
      </w:r>
      <w:proofErr w:type="spellStart"/>
      <w:r w:rsidRPr="00C445FE">
        <w:rPr>
          <w:color w:val="000000"/>
        </w:rPr>
        <w:t>Pörtner</w:t>
      </w:r>
      <w:proofErr w:type="spellEnd"/>
      <w:r w:rsidRPr="00C445FE">
        <w:rPr>
          <w:color w:val="000000"/>
        </w:rPr>
        <w:t>, D.C. Roberts, V. Masson-</w:t>
      </w:r>
      <w:proofErr w:type="spellStart"/>
      <w:r w:rsidRPr="00C445FE">
        <w:rPr>
          <w:color w:val="000000"/>
        </w:rPr>
        <w:t>Delmotte</w:t>
      </w:r>
      <w:proofErr w:type="spellEnd"/>
      <w:r w:rsidRPr="00C445FE">
        <w:rPr>
          <w:color w:val="000000"/>
        </w:rPr>
        <w:t xml:space="preserve">, P. </w:t>
      </w:r>
      <w:proofErr w:type="spellStart"/>
      <w:r w:rsidRPr="00C445FE">
        <w:rPr>
          <w:color w:val="000000"/>
        </w:rPr>
        <w:t>Zhai</w:t>
      </w:r>
      <w:proofErr w:type="spellEnd"/>
      <w:r w:rsidRPr="00C445FE">
        <w:rPr>
          <w:color w:val="000000"/>
        </w:rPr>
        <w:t xml:space="preserve">, M. </w:t>
      </w:r>
      <w:proofErr w:type="spellStart"/>
      <w:r w:rsidRPr="00C445FE">
        <w:rPr>
          <w:color w:val="000000"/>
        </w:rPr>
        <w:t>Tignor</w:t>
      </w:r>
      <w:proofErr w:type="spellEnd"/>
      <w:r w:rsidRPr="00C445FE">
        <w:rPr>
          <w:color w:val="000000"/>
        </w:rPr>
        <w:t xml:space="preserve">, E. </w:t>
      </w:r>
      <w:proofErr w:type="spellStart"/>
      <w:r w:rsidRPr="00C445FE">
        <w:rPr>
          <w:color w:val="000000"/>
        </w:rPr>
        <w:t>Poloczanska</w:t>
      </w:r>
      <w:proofErr w:type="spellEnd"/>
      <w:r w:rsidRPr="00C445FE">
        <w:rPr>
          <w:color w:val="000000"/>
        </w:rPr>
        <w:t xml:space="preserve">, K. </w:t>
      </w:r>
      <w:proofErr w:type="spellStart"/>
      <w:r w:rsidRPr="00C445FE">
        <w:rPr>
          <w:color w:val="000000"/>
        </w:rPr>
        <w:t>Mintenbeck</w:t>
      </w:r>
      <w:proofErr w:type="spellEnd"/>
      <w:r w:rsidRPr="00C445FE">
        <w:rPr>
          <w:color w:val="000000"/>
        </w:rPr>
        <w:t xml:space="preserve">, M. Nicolai, A. </w:t>
      </w:r>
      <w:proofErr w:type="spellStart"/>
      <w:r w:rsidRPr="00C445FE">
        <w:rPr>
          <w:color w:val="000000"/>
        </w:rPr>
        <w:t>Okem</w:t>
      </w:r>
      <w:proofErr w:type="spellEnd"/>
      <w:r w:rsidRPr="00C445FE">
        <w:rPr>
          <w:color w:val="000000"/>
        </w:rPr>
        <w:t xml:space="preserve">, J. </w:t>
      </w:r>
      <w:proofErr w:type="spellStart"/>
      <w:r w:rsidRPr="00C445FE">
        <w:rPr>
          <w:color w:val="000000"/>
        </w:rPr>
        <w:t>Petzold</w:t>
      </w:r>
      <w:proofErr w:type="spellEnd"/>
      <w:r w:rsidRPr="00C445FE">
        <w:rPr>
          <w:color w:val="000000"/>
        </w:rPr>
        <w:t xml:space="preserve">, B. Rama, N. </w:t>
      </w:r>
      <w:proofErr w:type="spellStart"/>
      <w:r w:rsidRPr="00C445FE">
        <w:rPr>
          <w:color w:val="000000"/>
        </w:rPr>
        <w:t>Weyer</w:t>
      </w:r>
      <w:proofErr w:type="spellEnd"/>
      <w:r w:rsidRPr="00C445FE">
        <w:rPr>
          <w:color w:val="000000"/>
        </w:rPr>
        <w:t xml:space="preserve"> (eds.)]. In press.</w:t>
      </w:r>
    </w:p>
    <w:p w14:paraId="5570580E" w14:textId="19EEA1F7"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Joesoef</w:t>
      </w:r>
      <w:proofErr w:type="spellEnd"/>
      <w:r w:rsidRPr="00435BD7">
        <w:rPr>
          <w:color w:val="000000"/>
        </w:rPr>
        <w:t xml:space="preserve">, A., Huang, W.-J., Gao, Y., &amp; Cai, W.-J. (2015). Air–water fluxes and sources of carbon </w:t>
      </w:r>
      <w:r w:rsidRPr="00435BD7">
        <w:rPr>
          <w:color w:val="000000"/>
        </w:rPr>
        <w:lastRenderedPageBreak/>
        <w:t xml:space="preserve">dioxide in the Delaware Estuary: spatial and seasonal variability. </w:t>
      </w:r>
      <w:proofErr w:type="spellStart"/>
      <w:r w:rsidRPr="00435BD7">
        <w:rPr>
          <w:i/>
          <w:color w:val="000000"/>
        </w:rPr>
        <w:t>Biogeosciences</w:t>
      </w:r>
      <w:proofErr w:type="spellEnd"/>
      <w:r w:rsidRPr="00435BD7">
        <w:rPr>
          <w:color w:val="000000"/>
        </w:rPr>
        <w:t xml:space="preserve">, </w:t>
      </w:r>
      <w:r w:rsidRPr="00435BD7">
        <w:rPr>
          <w:b/>
          <w:color w:val="000000"/>
        </w:rPr>
        <w:t>12</w:t>
      </w:r>
      <w:r w:rsidRPr="00435BD7">
        <w:rPr>
          <w:color w:val="000000"/>
        </w:rPr>
        <w:t>(20)</w:t>
      </w:r>
      <w:r w:rsidR="002A72FF">
        <w:rPr>
          <w:color w:val="000000"/>
        </w:rPr>
        <w:t>:</w:t>
      </w:r>
      <w:r w:rsidRPr="00435BD7">
        <w:rPr>
          <w:color w:val="000000"/>
        </w:rPr>
        <w:t xml:space="preserve"> 6085–6101. https://doi.org/10.5194/bg-12-6085-2015</w:t>
      </w:r>
    </w:p>
    <w:p w14:paraId="51EF072C" w14:textId="73CCE1CB"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Joyce, A., </w:t>
      </w:r>
      <w:proofErr w:type="spellStart"/>
      <w:r w:rsidRPr="00435BD7">
        <w:rPr>
          <w:color w:val="000000"/>
        </w:rPr>
        <w:t>Holthuis</w:t>
      </w:r>
      <w:proofErr w:type="spellEnd"/>
      <w:r w:rsidRPr="00435BD7">
        <w:rPr>
          <w:color w:val="000000"/>
        </w:rPr>
        <w:t xml:space="preserve">, T. D., Charrier, G., &amp; </w:t>
      </w:r>
      <w:proofErr w:type="spellStart"/>
      <w:r w:rsidRPr="00435BD7">
        <w:rPr>
          <w:color w:val="000000"/>
        </w:rPr>
        <w:t>Lindegarth</w:t>
      </w:r>
      <w:proofErr w:type="spellEnd"/>
      <w:r w:rsidRPr="00435BD7">
        <w:rPr>
          <w:color w:val="000000"/>
        </w:rPr>
        <w:t xml:space="preserve">, S. (2013). Experimental Effects of Temperature and Photoperiod on Synchrony of Gametogenesis and Sex Ratio in the European Oyster </w:t>
      </w:r>
      <w:proofErr w:type="spellStart"/>
      <w:r w:rsidRPr="00435BD7">
        <w:rPr>
          <w:color w:val="000000"/>
        </w:rPr>
        <w:t>Ostrea</w:t>
      </w:r>
      <w:proofErr w:type="spellEnd"/>
      <w:r w:rsidRPr="00435BD7">
        <w:rPr>
          <w:color w:val="000000"/>
        </w:rPr>
        <w:t xml:space="preserve"> edulis </w:t>
      </w:r>
      <w:proofErr w:type="gramStart"/>
      <w:r w:rsidRPr="00435BD7">
        <w:rPr>
          <w:color w:val="000000"/>
        </w:rPr>
        <w:t>( Linnaeus</w:t>
      </w:r>
      <w:proofErr w:type="gramEnd"/>
      <w:r w:rsidRPr="00435BD7">
        <w:rPr>
          <w:color w:val="000000"/>
        </w:rPr>
        <w:t xml:space="preserve"> ). </w:t>
      </w:r>
      <w:r w:rsidRPr="00435BD7">
        <w:rPr>
          <w:i/>
          <w:color w:val="000000"/>
        </w:rPr>
        <w:t>Journal of Shellfish Research</w:t>
      </w:r>
      <w:r w:rsidRPr="00435BD7">
        <w:rPr>
          <w:color w:val="000000"/>
        </w:rPr>
        <w:t xml:space="preserve">, </w:t>
      </w:r>
      <w:r w:rsidRPr="00435BD7">
        <w:rPr>
          <w:b/>
          <w:color w:val="000000"/>
        </w:rPr>
        <w:t>32</w:t>
      </w:r>
      <w:r w:rsidRPr="00435BD7">
        <w:rPr>
          <w:color w:val="000000"/>
        </w:rPr>
        <w:t>(2)</w:t>
      </w:r>
      <w:r w:rsidR="002A72FF">
        <w:rPr>
          <w:color w:val="000000"/>
        </w:rPr>
        <w:t>:</w:t>
      </w:r>
      <w:r w:rsidRPr="00435BD7">
        <w:rPr>
          <w:color w:val="000000"/>
        </w:rPr>
        <w:t xml:space="preserve"> 447–458. https://doi.org/10.2983/035.032.0225</w:t>
      </w:r>
    </w:p>
    <w:p w14:paraId="59F30703" w14:textId="4C58A27A"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Kelly, M. W., Padilla-</w:t>
      </w:r>
      <w:proofErr w:type="spellStart"/>
      <w:r w:rsidRPr="00435BD7">
        <w:rPr>
          <w:color w:val="000000"/>
        </w:rPr>
        <w:t>Gamiño</w:t>
      </w:r>
      <w:proofErr w:type="spellEnd"/>
      <w:r w:rsidRPr="00435BD7">
        <w:rPr>
          <w:color w:val="000000"/>
        </w:rPr>
        <w:t xml:space="preserve">, J. L., &amp; Hofmann, G. E. (2013). Natural variation and the capacity to adapt to ocean acidification in the keystone sea urchin Strongylocentrotus </w:t>
      </w:r>
      <w:proofErr w:type="spellStart"/>
      <w:r w:rsidRPr="00435BD7">
        <w:rPr>
          <w:color w:val="000000"/>
        </w:rPr>
        <w:t>purpuratus</w:t>
      </w:r>
      <w:proofErr w:type="spellEnd"/>
      <w:r w:rsidRPr="00435BD7">
        <w:rPr>
          <w:color w:val="000000"/>
        </w:rPr>
        <w:t xml:space="preserve">. </w:t>
      </w:r>
      <w:r w:rsidRPr="00435BD7">
        <w:rPr>
          <w:i/>
          <w:color w:val="000000"/>
        </w:rPr>
        <w:t>Global Change Biology</w:t>
      </w:r>
      <w:r w:rsidRPr="00435BD7">
        <w:rPr>
          <w:color w:val="000000"/>
        </w:rPr>
        <w:t xml:space="preserve">, </w:t>
      </w:r>
      <w:r w:rsidRPr="00435BD7">
        <w:rPr>
          <w:b/>
          <w:color w:val="000000"/>
        </w:rPr>
        <w:t>19</w:t>
      </w:r>
      <w:r w:rsidRPr="00435BD7">
        <w:rPr>
          <w:color w:val="000000"/>
        </w:rPr>
        <w:t>(8)</w:t>
      </w:r>
      <w:r w:rsidR="002A72FF">
        <w:rPr>
          <w:color w:val="000000"/>
        </w:rPr>
        <w:t>:</w:t>
      </w:r>
      <w:r w:rsidRPr="00435BD7">
        <w:rPr>
          <w:color w:val="000000"/>
        </w:rPr>
        <w:t xml:space="preserve"> 2536–2546. https://doi.org/10.1111/gcb.12251</w:t>
      </w:r>
    </w:p>
    <w:p w14:paraId="7A60A482" w14:textId="726A2418" w:rsidR="00260062" w:rsidRPr="00435BD7" w:rsidRDefault="00260062" w:rsidP="00260062">
      <w:pPr>
        <w:widowControl w:val="0"/>
        <w:pBdr>
          <w:top w:val="nil"/>
          <w:left w:val="nil"/>
          <w:bottom w:val="nil"/>
          <w:right w:val="nil"/>
          <w:between w:val="nil"/>
        </w:pBdr>
        <w:spacing w:line="480" w:lineRule="auto"/>
        <w:ind w:left="480" w:hanging="480"/>
      </w:pPr>
      <w:r w:rsidRPr="00435BD7">
        <w:t xml:space="preserve">Kimbro, D. L., White, J.W., &amp; </w:t>
      </w:r>
      <w:proofErr w:type="spellStart"/>
      <w:r w:rsidRPr="00435BD7">
        <w:t>Grosholz</w:t>
      </w:r>
      <w:proofErr w:type="spellEnd"/>
      <w:r w:rsidRPr="00435BD7">
        <w:t xml:space="preserve">, E. D. (2019). The Dynamics of Open Populations: Integration of Top–down, Bottom–up and Supply–side Influences on Intertidal Oysters. </w:t>
      </w:r>
      <w:r w:rsidRPr="00435BD7">
        <w:rPr>
          <w:i/>
          <w:iCs/>
        </w:rPr>
        <w:t xml:space="preserve">Oikos </w:t>
      </w:r>
      <w:r w:rsidRPr="00435BD7">
        <w:rPr>
          <w:b/>
        </w:rPr>
        <w:t>128</w:t>
      </w:r>
      <w:r w:rsidRPr="00435BD7">
        <w:t>(4): 584–95, https://doi.org/10.1111/oik.05892</w:t>
      </w:r>
    </w:p>
    <w:p w14:paraId="5B60EABC" w14:textId="11DA5952"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Kong, H., Jiang, X., Clements, J. C., Wang, T., Huang, X., Shang, Y., </w:t>
      </w:r>
      <w:r w:rsidRPr="00435BD7">
        <w:t xml:space="preserve">Chen, J., Hu, M., </w:t>
      </w:r>
      <w:r w:rsidRPr="00435BD7">
        <w:rPr>
          <w:color w:val="000000"/>
        </w:rPr>
        <w:t xml:space="preserve">Wang, Y. (2019). Transgenerational effects of short-term exposure to acidification and hypoxia on early developmental traits of the mussel </w:t>
      </w:r>
      <w:proofErr w:type="spellStart"/>
      <w:r w:rsidRPr="00435BD7">
        <w:rPr>
          <w:color w:val="000000"/>
        </w:rPr>
        <w:t>Mytilus</w:t>
      </w:r>
      <w:proofErr w:type="spellEnd"/>
      <w:r w:rsidRPr="00435BD7">
        <w:rPr>
          <w:color w:val="000000"/>
        </w:rPr>
        <w:t xml:space="preserve"> edulis. </w:t>
      </w:r>
      <w:r w:rsidRPr="00435BD7">
        <w:rPr>
          <w:i/>
          <w:color w:val="000000"/>
        </w:rPr>
        <w:t>Marine Environmental Research</w:t>
      </w:r>
      <w:r w:rsidRPr="00435BD7">
        <w:rPr>
          <w:color w:val="000000"/>
        </w:rPr>
        <w:t xml:space="preserve">, </w:t>
      </w:r>
      <w:r w:rsidRPr="00435BD7">
        <w:rPr>
          <w:b/>
          <w:color w:val="000000"/>
        </w:rPr>
        <w:t>145</w:t>
      </w:r>
      <w:r w:rsidR="002A72FF">
        <w:rPr>
          <w:color w:val="000000"/>
        </w:rPr>
        <w:t>:</w:t>
      </w:r>
      <w:r w:rsidRPr="00435BD7">
        <w:rPr>
          <w:color w:val="000000"/>
        </w:rPr>
        <w:t xml:space="preserve"> 73–80. https://doi.org/10.1016/j.marenvres.2019.02.011</w:t>
      </w:r>
    </w:p>
    <w:p w14:paraId="301A16AC" w14:textId="09D535F6"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Kurihara</w:t>
      </w:r>
      <w:proofErr w:type="spellEnd"/>
      <w:r w:rsidRPr="00435BD7">
        <w:rPr>
          <w:color w:val="000000"/>
        </w:rPr>
        <w:t>, H. (2008). Effects of CO</w:t>
      </w:r>
      <w:r w:rsidRPr="00435BD7">
        <w:rPr>
          <w:color w:val="000000"/>
          <w:vertAlign w:val="subscript"/>
        </w:rPr>
        <w:t>2</w:t>
      </w:r>
      <w:r w:rsidRPr="00435BD7">
        <w:rPr>
          <w:color w:val="000000"/>
        </w:rPr>
        <w:t xml:space="preserve">-driven ocean acidification on the early developmental stages of invertebrates. </w:t>
      </w:r>
      <w:r w:rsidRPr="00435BD7">
        <w:rPr>
          <w:i/>
          <w:color w:val="000000"/>
        </w:rPr>
        <w:t>Marine Ecology Progress Series</w:t>
      </w:r>
      <w:r w:rsidRPr="00435BD7">
        <w:rPr>
          <w:color w:val="000000"/>
        </w:rPr>
        <w:t>,</w:t>
      </w:r>
      <w:r w:rsidRPr="00435BD7">
        <w:rPr>
          <w:b/>
          <w:color w:val="000000"/>
        </w:rPr>
        <w:t xml:space="preserve"> 373</w:t>
      </w:r>
      <w:r w:rsidR="002A72FF">
        <w:rPr>
          <w:color w:val="000000"/>
        </w:rPr>
        <w:t>:</w:t>
      </w:r>
      <w:r w:rsidRPr="00435BD7">
        <w:rPr>
          <w:color w:val="000000"/>
        </w:rPr>
        <w:t xml:space="preserve"> 275–284. https://doi.org/10.3354/meps07802</w:t>
      </w:r>
    </w:p>
    <w:p w14:paraId="73E49F4B" w14:textId="699C7024"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Loosanoff</w:t>
      </w:r>
      <w:proofErr w:type="spellEnd"/>
      <w:r w:rsidRPr="00435BD7">
        <w:rPr>
          <w:color w:val="000000"/>
        </w:rPr>
        <w:t xml:space="preserve">, V. L. (1942). Seasonal gonadal changes in the adult oysters, </w:t>
      </w:r>
      <w:proofErr w:type="spellStart"/>
      <w:r w:rsidRPr="00435BD7">
        <w:rPr>
          <w:color w:val="000000"/>
        </w:rPr>
        <w:t>Ostrea</w:t>
      </w:r>
      <w:proofErr w:type="spellEnd"/>
      <w:r w:rsidRPr="00435BD7">
        <w:rPr>
          <w:color w:val="000000"/>
        </w:rPr>
        <w:t xml:space="preserve"> virginica, of Long Island Sound. </w:t>
      </w:r>
      <w:r w:rsidRPr="00435BD7">
        <w:rPr>
          <w:i/>
          <w:color w:val="000000"/>
        </w:rPr>
        <w:t>The Biological Bulletin</w:t>
      </w:r>
      <w:r w:rsidRPr="00435BD7">
        <w:rPr>
          <w:color w:val="000000"/>
        </w:rPr>
        <w:t xml:space="preserve">, </w:t>
      </w:r>
      <w:r w:rsidRPr="00435BD7">
        <w:rPr>
          <w:b/>
          <w:color w:val="000000"/>
        </w:rPr>
        <w:t>82</w:t>
      </w:r>
      <w:r w:rsidRPr="00435BD7">
        <w:rPr>
          <w:color w:val="000000"/>
        </w:rPr>
        <w:t>(2)</w:t>
      </w:r>
      <w:r w:rsidR="002A72FF">
        <w:rPr>
          <w:color w:val="000000"/>
        </w:rPr>
        <w:t>:</w:t>
      </w:r>
      <w:r w:rsidRPr="00435BD7">
        <w:rPr>
          <w:color w:val="000000"/>
        </w:rPr>
        <w:t xml:space="preserve"> 195–206. https://doi.org/10.2307/1538070</w:t>
      </w:r>
    </w:p>
    <w:p w14:paraId="24C00625" w14:textId="5EC3507C"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Maneiro</w:t>
      </w:r>
      <w:proofErr w:type="spellEnd"/>
      <w:r w:rsidRPr="00435BD7">
        <w:rPr>
          <w:color w:val="000000"/>
        </w:rPr>
        <w:t>, V., Pérez-</w:t>
      </w:r>
      <w:proofErr w:type="spellStart"/>
      <w:r w:rsidRPr="00435BD7">
        <w:rPr>
          <w:color w:val="000000"/>
        </w:rPr>
        <w:t>Parallé</w:t>
      </w:r>
      <w:proofErr w:type="spellEnd"/>
      <w:r w:rsidRPr="00435BD7">
        <w:rPr>
          <w:color w:val="000000"/>
        </w:rPr>
        <w:t xml:space="preserve">, M. L., </w:t>
      </w:r>
      <w:proofErr w:type="spellStart"/>
      <w:r w:rsidRPr="00435BD7">
        <w:rPr>
          <w:color w:val="000000"/>
        </w:rPr>
        <w:t>Pazos</w:t>
      </w:r>
      <w:proofErr w:type="spellEnd"/>
      <w:r w:rsidRPr="00435BD7">
        <w:rPr>
          <w:color w:val="000000"/>
        </w:rPr>
        <w:t>, A. J., Silva, A., &amp; Sánchez, J. L. (2016). Combined Effects of Temperature and Photoperiod on the Conditioning of the Flat Oyster (</w:t>
      </w:r>
      <w:proofErr w:type="spellStart"/>
      <w:r w:rsidRPr="00435BD7">
        <w:rPr>
          <w:color w:val="000000"/>
        </w:rPr>
        <w:t>Ostrea</w:t>
      </w:r>
      <w:proofErr w:type="spellEnd"/>
      <w:r w:rsidRPr="00435BD7">
        <w:rPr>
          <w:color w:val="000000"/>
        </w:rPr>
        <w:t xml:space="preserve"> </w:t>
      </w:r>
      <w:r w:rsidRPr="00435BD7">
        <w:rPr>
          <w:color w:val="000000"/>
        </w:rPr>
        <w:lastRenderedPageBreak/>
        <w:t xml:space="preserve">edulis [Linnaeus, 1758]) in Winter. </w:t>
      </w:r>
      <w:r w:rsidRPr="00435BD7">
        <w:rPr>
          <w:i/>
          <w:color w:val="000000"/>
        </w:rPr>
        <w:t>Journal of Shellfish Research</w:t>
      </w:r>
      <w:r w:rsidRPr="00435BD7">
        <w:rPr>
          <w:color w:val="000000"/>
        </w:rPr>
        <w:t xml:space="preserve">, </w:t>
      </w:r>
      <w:r w:rsidRPr="00435BD7">
        <w:rPr>
          <w:b/>
          <w:color w:val="000000"/>
        </w:rPr>
        <w:t>35</w:t>
      </w:r>
      <w:r w:rsidRPr="00435BD7">
        <w:rPr>
          <w:color w:val="000000"/>
        </w:rPr>
        <w:t>(1)</w:t>
      </w:r>
      <w:r w:rsidR="002A72FF">
        <w:rPr>
          <w:color w:val="000000"/>
        </w:rPr>
        <w:t>:</w:t>
      </w:r>
      <w:r w:rsidRPr="00435BD7">
        <w:rPr>
          <w:color w:val="000000"/>
        </w:rPr>
        <w:t xml:space="preserve"> 137–141. https://doi.org/10.2983/035.035.0115</w:t>
      </w:r>
    </w:p>
    <w:p w14:paraId="75B883B1" w14:textId="47BF4F23"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Massamba-N’Siala</w:t>
      </w:r>
      <w:proofErr w:type="spellEnd"/>
      <w:r w:rsidRPr="00435BD7">
        <w:rPr>
          <w:color w:val="000000"/>
        </w:rPr>
        <w:t xml:space="preserve">, G., </w:t>
      </w:r>
      <w:proofErr w:type="spellStart"/>
      <w:r w:rsidRPr="00435BD7">
        <w:rPr>
          <w:color w:val="000000"/>
        </w:rPr>
        <w:t>Prevedelli</w:t>
      </w:r>
      <w:proofErr w:type="spellEnd"/>
      <w:r w:rsidRPr="00435BD7">
        <w:rPr>
          <w:color w:val="000000"/>
        </w:rPr>
        <w:t xml:space="preserve">, D., &amp; </w:t>
      </w:r>
      <w:proofErr w:type="spellStart"/>
      <w:r w:rsidRPr="00435BD7">
        <w:rPr>
          <w:color w:val="000000"/>
        </w:rPr>
        <w:t>Simonini</w:t>
      </w:r>
      <w:proofErr w:type="spellEnd"/>
      <w:r w:rsidRPr="00435BD7">
        <w:rPr>
          <w:color w:val="000000"/>
        </w:rPr>
        <w:t xml:space="preserve">, R. (2014). Trans-generational plasticity in physiological thermal tolerance is modulated by maternal pre-reproductive environment in the </w:t>
      </w:r>
      <w:proofErr w:type="spellStart"/>
      <w:r w:rsidRPr="00435BD7">
        <w:rPr>
          <w:color w:val="000000"/>
        </w:rPr>
        <w:t>polychaete</w:t>
      </w:r>
      <w:proofErr w:type="spellEnd"/>
      <w:r w:rsidRPr="00435BD7">
        <w:rPr>
          <w:color w:val="000000"/>
        </w:rPr>
        <w:t xml:space="preserve"> </w:t>
      </w:r>
      <w:proofErr w:type="spellStart"/>
      <w:r w:rsidRPr="00435BD7">
        <w:rPr>
          <w:color w:val="000000"/>
        </w:rPr>
        <w:t>Ophryotrocha</w:t>
      </w:r>
      <w:proofErr w:type="spellEnd"/>
      <w:r w:rsidRPr="00435BD7">
        <w:rPr>
          <w:color w:val="000000"/>
        </w:rPr>
        <w:t xml:space="preserve"> </w:t>
      </w:r>
      <w:proofErr w:type="spellStart"/>
      <w:r w:rsidRPr="00435BD7">
        <w:rPr>
          <w:color w:val="000000"/>
        </w:rPr>
        <w:t>labronica</w:t>
      </w:r>
      <w:proofErr w:type="spellEnd"/>
      <w:r w:rsidRPr="00435BD7">
        <w:rPr>
          <w:color w:val="000000"/>
        </w:rPr>
        <w:t xml:space="preserve">. </w:t>
      </w:r>
      <w:r w:rsidRPr="00435BD7">
        <w:rPr>
          <w:i/>
          <w:color w:val="000000"/>
        </w:rPr>
        <w:t>The Journal of Experimental Biology</w:t>
      </w:r>
      <w:r w:rsidRPr="00435BD7">
        <w:rPr>
          <w:color w:val="000000"/>
        </w:rPr>
        <w:t xml:space="preserve">, </w:t>
      </w:r>
      <w:r w:rsidRPr="00435BD7">
        <w:rPr>
          <w:b/>
          <w:color w:val="000000"/>
        </w:rPr>
        <w:t>217</w:t>
      </w:r>
      <w:r w:rsidRPr="00435BD7">
        <w:rPr>
          <w:color w:val="000000"/>
        </w:rPr>
        <w:t>(Pt 11)</w:t>
      </w:r>
      <w:r w:rsidR="0075478B">
        <w:rPr>
          <w:color w:val="000000"/>
        </w:rPr>
        <w:t>:</w:t>
      </w:r>
      <w:r w:rsidRPr="00435BD7">
        <w:rPr>
          <w:color w:val="000000"/>
        </w:rPr>
        <w:t xml:space="preserve"> 2004–2012. https://doi.org/10.1242/jeb.094474</w:t>
      </w:r>
    </w:p>
    <w:p w14:paraId="42A11DBA" w14:textId="370AC247"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Mathieu, M., &amp; </w:t>
      </w:r>
      <w:proofErr w:type="spellStart"/>
      <w:r w:rsidRPr="00435BD7">
        <w:rPr>
          <w:color w:val="000000"/>
        </w:rPr>
        <w:t>Lubet</w:t>
      </w:r>
      <w:proofErr w:type="spellEnd"/>
      <w:r w:rsidRPr="00435BD7">
        <w:rPr>
          <w:color w:val="000000"/>
        </w:rPr>
        <w:t xml:space="preserve">, P. (1993). Storage tissue metabolism and reproduction in marine bivalves—a brief review. </w:t>
      </w:r>
      <w:r w:rsidRPr="00435BD7">
        <w:rPr>
          <w:i/>
          <w:color w:val="000000"/>
        </w:rPr>
        <w:t>Invertebrate Reproduction &amp; Development</w:t>
      </w:r>
      <w:r w:rsidRPr="00435BD7">
        <w:rPr>
          <w:color w:val="000000"/>
        </w:rPr>
        <w:t xml:space="preserve">, </w:t>
      </w:r>
      <w:r w:rsidRPr="00435BD7">
        <w:rPr>
          <w:b/>
          <w:color w:val="000000"/>
        </w:rPr>
        <w:t>23</w:t>
      </w:r>
      <w:r w:rsidRPr="00435BD7">
        <w:rPr>
          <w:color w:val="000000"/>
        </w:rPr>
        <w:t>(2-3)</w:t>
      </w:r>
      <w:r w:rsidR="0056506E">
        <w:rPr>
          <w:color w:val="000000"/>
        </w:rPr>
        <w:t>:</w:t>
      </w:r>
      <w:r w:rsidRPr="00435BD7">
        <w:rPr>
          <w:color w:val="000000"/>
        </w:rPr>
        <w:t xml:space="preserve"> 123–129. https://doi.org/10.1080/07924259.1993.9672303</w:t>
      </w:r>
    </w:p>
    <w:p w14:paraId="39FE4F4C" w14:textId="0B0F9F9E"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Maynard, A., Bible, J. M., </w:t>
      </w:r>
      <w:proofErr w:type="spellStart"/>
      <w:r w:rsidRPr="00435BD7">
        <w:rPr>
          <w:color w:val="000000"/>
        </w:rPr>
        <w:t>Pespeni</w:t>
      </w:r>
      <w:proofErr w:type="spellEnd"/>
      <w:r w:rsidRPr="00435BD7">
        <w:rPr>
          <w:color w:val="000000"/>
        </w:rPr>
        <w:t>, M. H., Sanford, E., &amp; Evans, T. G. (2018). Transcriptomic responses to extreme low salinity among locally adapted populations of Olympia oyster (</w:t>
      </w:r>
      <w:proofErr w:type="spellStart"/>
      <w:r w:rsidRPr="00435BD7">
        <w:rPr>
          <w:color w:val="000000"/>
        </w:rPr>
        <w:t>Ostrea</w:t>
      </w:r>
      <w:proofErr w:type="spellEnd"/>
      <w:r w:rsidRPr="00435BD7">
        <w:rPr>
          <w:color w:val="000000"/>
        </w:rPr>
        <w:t xml:space="preserve"> </w:t>
      </w:r>
      <w:proofErr w:type="spellStart"/>
      <w:r w:rsidRPr="00435BD7">
        <w:rPr>
          <w:color w:val="000000"/>
        </w:rPr>
        <w:t>lurida</w:t>
      </w:r>
      <w:proofErr w:type="spellEnd"/>
      <w:r w:rsidRPr="00435BD7">
        <w:rPr>
          <w:color w:val="000000"/>
        </w:rPr>
        <w:t xml:space="preserve">). </w:t>
      </w:r>
      <w:r w:rsidRPr="00435BD7">
        <w:rPr>
          <w:i/>
          <w:color w:val="000000"/>
        </w:rPr>
        <w:t>Molecular Ecology</w:t>
      </w:r>
      <w:r w:rsidRPr="00435BD7">
        <w:rPr>
          <w:color w:val="000000"/>
        </w:rPr>
        <w:t xml:space="preserve">, </w:t>
      </w:r>
      <w:r w:rsidRPr="00435BD7">
        <w:rPr>
          <w:b/>
          <w:color w:val="000000"/>
        </w:rPr>
        <w:t>27</w:t>
      </w:r>
      <w:r w:rsidRPr="00435BD7">
        <w:rPr>
          <w:color w:val="000000"/>
        </w:rPr>
        <w:t>(21)</w:t>
      </w:r>
      <w:r w:rsidR="0056506E">
        <w:rPr>
          <w:color w:val="000000"/>
        </w:rPr>
        <w:t>:</w:t>
      </w:r>
      <w:r w:rsidRPr="00435BD7">
        <w:rPr>
          <w:color w:val="000000"/>
        </w:rPr>
        <w:t xml:space="preserve"> 4225–4240. https://doi.org/10.1111/mec.14863</w:t>
      </w:r>
    </w:p>
    <w:p w14:paraId="6C34F192" w14:textId="2BC64044"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McGrath, T., McGovern, E., Gregory, C., &amp; Cave, R. R. (2019). Local drivers of the seasonal carbonate cycle across four contrasting coastal systems. </w:t>
      </w:r>
      <w:r w:rsidRPr="00435BD7">
        <w:rPr>
          <w:i/>
          <w:color w:val="000000"/>
        </w:rPr>
        <w:t>Regional Studies in Marine Science</w:t>
      </w:r>
      <w:r w:rsidRPr="00435BD7">
        <w:rPr>
          <w:color w:val="000000"/>
        </w:rPr>
        <w:t xml:space="preserve">, </w:t>
      </w:r>
      <w:r w:rsidRPr="00435BD7">
        <w:rPr>
          <w:b/>
          <w:color w:val="000000"/>
        </w:rPr>
        <w:t>30</w:t>
      </w:r>
      <w:r w:rsidR="0056506E">
        <w:rPr>
          <w:color w:val="000000"/>
        </w:rPr>
        <w:t>:</w:t>
      </w:r>
      <w:r w:rsidRPr="00435BD7">
        <w:rPr>
          <w:color w:val="000000"/>
        </w:rPr>
        <w:t xml:space="preserve"> 100733. https://doi.org/10.1016/j.rsma.2019.100733</w:t>
      </w:r>
    </w:p>
    <w:p w14:paraId="46245B82" w14:textId="13DAE4D9"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McGraw, K. A. (2009). The Olympia Oyster, </w:t>
      </w:r>
      <w:proofErr w:type="spellStart"/>
      <w:r w:rsidRPr="00435BD7">
        <w:rPr>
          <w:color w:val="000000"/>
        </w:rPr>
        <w:t>Ostrea</w:t>
      </w:r>
      <w:proofErr w:type="spellEnd"/>
      <w:r w:rsidRPr="00435BD7">
        <w:rPr>
          <w:color w:val="000000"/>
        </w:rPr>
        <w:t xml:space="preserve"> </w:t>
      </w:r>
      <w:proofErr w:type="spellStart"/>
      <w:r w:rsidRPr="00435BD7">
        <w:rPr>
          <w:color w:val="000000"/>
        </w:rPr>
        <w:t>lurida</w:t>
      </w:r>
      <w:proofErr w:type="spellEnd"/>
      <w:r w:rsidRPr="00435BD7">
        <w:rPr>
          <w:color w:val="000000"/>
        </w:rPr>
        <w:t xml:space="preserve"> Carpenter 1864 Along the West Coast of North America. </w:t>
      </w:r>
      <w:r w:rsidRPr="00435BD7">
        <w:rPr>
          <w:i/>
          <w:color w:val="000000"/>
        </w:rPr>
        <w:t>Journal of Shellfish Research</w:t>
      </w:r>
      <w:r w:rsidRPr="00435BD7">
        <w:rPr>
          <w:color w:val="000000"/>
        </w:rPr>
        <w:t xml:space="preserve">, </w:t>
      </w:r>
      <w:r w:rsidRPr="00435BD7">
        <w:rPr>
          <w:b/>
          <w:color w:val="000000"/>
        </w:rPr>
        <w:t>28</w:t>
      </w:r>
      <w:r w:rsidRPr="00435BD7">
        <w:rPr>
          <w:color w:val="000000"/>
        </w:rPr>
        <w:t>(1)</w:t>
      </w:r>
      <w:r w:rsidR="0056506E">
        <w:rPr>
          <w:color w:val="000000"/>
        </w:rPr>
        <w:t>:</w:t>
      </w:r>
      <w:r w:rsidRPr="00435BD7">
        <w:rPr>
          <w:color w:val="000000"/>
        </w:rPr>
        <w:t xml:space="preserve"> 5–10. https://doi.org/10.2983/035.028.0110</w:t>
      </w:r>
    </w:p>
    <w:p w14:paraId="501A5741" w14:textId="01594813" w:rsidR="00A73230" w:rsidRPr="00435BD7" w:rsidRDefault="00A73230" w:rsidP="00A73230">
      <w:pPr>
        <w:widowControl w:val="0"/>
        <w:pBdr>
          <w:top w:val="nil"/>
          <w:left w:val="nil"/>
          <w:bottom w:val="nil"/>
          <w:right w:val="nil"/>
          <w:between w:val="nil"/>
        </w:pBdr>
        <w:spacing w:line="480" w:lineRule="auto"/>
        <w:ind w:left="480" w:hanging="480"/>
        <w:rPr>
          <w:color w:val="000000"/>
        </w:rPr>
      </w:pPr>
      <w:r w:rsidRPr="00435BD7">
        <w:rPr>
          <w:color w:val="000000"/>
        </w:rPr>
        <w:t xml:space="preserve">Moore, J. D., Marshman, B. C., </w:t>
      </w:r>
      <w:proofErr w:type="spellStart"/>
      <w:r w:rsidRPr="00435BD7">
        <w:rPr>
          <w:color w:val="000000"/>
        </w:rPr>
        <w:t>Obernolte</w:t>
      </w:r>
      <w:proofErr w:type="spellEnd"/>
      <w:r w:rsidRPr="00435BD7">
        <w:rPr>
          <w:color w:val="000000"/>
        </w:rPr>
        <w:t xml:space="preserve">, R., &amp; Abbott, R. (2016). Sexual development and symbionts of native Olympia oysters </w:t>
      </w:r>
      <w:proofErr w:type="spellStart"/>
      <w:r w:rsidRPr="00435BD7">
        <w:rPr>
          <w:color w:val="000000"/>
        </w:rPr>
        <w:t>Ostrea</w:t>
      </w:r>
      <w:proofErr w:type="spellEnd"/>
      <w:r w:rsidRPr="00435BD7">
        <w:rPr>
          <w:color w:val="000000"/>
        </w:rPr>
        <w:t xml:space="preserve"> </w:t>
      </w:r>
      <w:proofErr w:type="spellStart"/>
      <w:r w:rsidRPr="00435BD7">
        <w:rPr>
          <w:color w:val="000000"/>
        </w:rPr>
        <w:t>lurida</w:t>
      </w:r>
      <w:proofErr w:type="spellEnd"/>
      <w:r w:rsidRPr="00435BD7">
        <w:rPr>
          <w:color w:val="000000"/>
        </w:rPr>
        <w:t xml:space="preserve"> naturally settled on cultch deployed in San Francisco Bay, California. </w:t>
      </w:r>
      <w:r w:rsidRPr="00435BD7">
        <w:rPr>
          <w:i/>
          <w:iCs/>
          <w:color w:val="000000"/>
        </w:rPr>
        <w:t>California Fish and Game</w:t>
      </w:r>
      <w:r w:rsidRPr="00435BD7">
        <w:rPr>
          <w:color w:val="000000"/>
        </w:rPr>
        <w:t xml:space="preserve">, </w:t>
      </w:r>
      <w:r w:rsidRPr="0056506E">
        <w:rPr>
          <w:b/>
          <w:iCs/>
          <w:color w:val="000000"/>
        </w:rPr>
        <w:t>102</w:t>
      </w:r>
      <w:r w:rsidRPr="00435BD7">
        <w:rPr>
          <w:color w:val="000000"/>
        </w:rPr>
        <w:t>(3)</w:t>
      </w:r>
      <w:r w:rsidR="0056506E">
        <w:rPr>
          <w:color w:val="000000"/>
        </w:rPr>
        <w:t>:</w:t>
      </w:r>
      <w:r w:rsidRPr="00435BD7">
        <w:rPr>
          <w:color w:val="000000"/>
        </w:rPr>
        <w:t xml:space="preserve"> 100–118. </w:t>
      </w:r>
      <w:r w:rsidRPr="00435BD7">
        <w:t>https://nrm.dfg.ca.gov/FileHandler.ashx?DocumentID=136509&amp;inline</w:t>
      </w:r>
      <w:r w:rsidRPr="00435BD7">
        <w:rPr>
          <w:color w:val="000000"/>
        </w:rPr>
        <w:t xml:space="preserve"> (accessed September 24, 2019).</w:t>
      </w:r>
    </w:p>
    <w:p w14:paraId="7BD77299" w14:textId="14BD3FA3"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lastRenderedPageBreak/>
        <w:t xml:space="preserve">Oates, M. (2013). </w:t>
      </w:r>
      <w:r w:rsidRPr="00435BD7">
        <w:rPr>
          <w:i/>
          <w:color w:val="000000"/>
        </w:rPr>
        <w:t xml:space="preserve">Observations of gonad structure and gametogenic timing in a recovering population of </w:t>
      </w:r>
      <w:proofErr w:type="spellStart"/>
      <w:r w:rsidRPr="00435BD7">
        <w:rPr>
          <w:i/>
          <w:color w:val="000000"/>
        </w:rPr>
        <w:t>Ostrea</w:t>
      </w:r>
      <w:proofErr w:type="spellEnd"/>
      <w:r w:rsidRPr="00435BD7">
        <w:rPr>
          <w:i/>
          <w:color w:val="000000"/>
        </w:rPr>
        <w:t xml:space="preserve"> </w:t>
      </w:r>
      <w:proofErr w:type="spellStart"/>
      <w:r w:rsidRPr="00435BD7">
        <w:rPr>
          <w:i/>
          <w:color w:val="000000"/>
        </w:rPr>
        <w:t>lurida</w:t>
      </w:r>
      <w:proofErr w:type="spellEnd"/>
      <w:r w:rsidRPr="00435BD7">
        <w:rPr>
          <w:i/>
          <w:color w:val="000000"/>
        </w:rPr>
        <w:t xml:space="preserve"> (Carpenter 1864)</w:t>
      </w:r>
      <w:r w:rsidRPr="00435BD7">
        <w:rPr>
          <w:color w:val="000000"/>
        </w:rPr>
        <w:t xml:space="preserve"> (</w:t>
      </w:r>
      <w:r w:rsidRPr="00435BD7">
        <w:t>MS</w:t>
      </w:r>
      <w:r w:rsidRPr="00435BD7">
        <w:rPr>
          <w:color w:val="000000"/>
        </w:rPr>
        <w:t xml:space="preserve"> </w:t>
      </w:r>
      <w:r w:rsidRPr="00435BD7">
        <w:t>thesis</w:t>
      </w:r>
      <w:r w:rsidRPr="00435BD7">
        <w:rPr>
          <w:color w:val="000000"/>
        </w:rPr>
        <w:t>). University of Oregon, Eugene, OR 66 pp.</w:t>
      </w:r>
    </w:p>
    <w:p w14:paraId="30FEFB67" w14:textId="37CAFEFA" w:rsidR="009D70DA" w:rsidRPr="00435BD7" w:rsidRDefault="009D70DA" w:rsidP="009D70DA">
      <w:pPr>
        <w:widowControl w:val="0"/>
        <w:pBdr>
          <w:top w:val="nil"/>
          <w:left w:val="nil"/>
          <w:bottom w:val="nil"/>
          <w:right w:val="nil"/>
          <w:between w:val="nil"/>
        </w:pBdr>
        <w:spacing w:line="480" w:lineRule="auto"/>
        <w:ind w:left="480" w:hanging="480"/>
        <w:rPr>
          <w:color w:val="000000"/>
        </w:rPr>
      </w:pPr>
      <w:r w:rsidRPr="009D70DA">
        <w:rPr>
          <w:color w:val="000000"/>
        </w:rPr>
        <w:t>Olson, C. E., &amp; Roberts, S. B. (2015). Indication of family-specific DNA methylation patterns in developing oysters</w:t>
      </w:r>
      <w:r w:rsidRPr="00435BD7">
        <w:rPr>
          <w:color w:val="000000"/>
        </w:rPr>
        <w:t xml:space="preserve">. </w:t>
      </w:r>
      <w:proofErr w:type="spellStart"/>
      <w:r w:rsidRPr="00435BD7">
        <w:rPr>
          <w:i/>
        </w:rPr>
        <w:t>BioRxiv</w:t>
      </w:r>
      <w:proofErr w:type="spellEnd"/>
      <w:r w:rsidRPr="00435BD7">
        <w:rPr>
          <w:i/>
        </w:rPr>
        <w:t>.</w:t>
      </w:r>
      <w:r w:rsidRPr="009D70DA">
        <w:rPr>
          <w:color w:val="000000"/>
        </w:rPr>
        <w:t xml:space="preserve"> p. 012831. https://doi.org/10.1101/012831</w:t>
      </w:r>
    </w:p>
    <w:p w14:paraId="33204A2C" w14:textId="33D22F61" w:rsidR="00961A52" w:rsidRPr="00435BD7" w:rsidRDefault="00961A52" w:rsidP="009D70DA">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Paaby</w:t>
      </w:r>
      <w:proofErr w:type="spellEnd"/>
      <w:r w:rsidRPr="00435BD7">
        <w:rPr>
          <w:color w:val="000000"/>
        </w:rPr>
        <w:t xml:space="preserve">, A. B., &amp; Rockman, M. V. (2014). Cryptic genetic variation: evolution’s hidden substrate. </w:t>
      </w:r>
      <w:r w:rsidRPr="00435BD7">
        <w:rPr>
          <w:i/>
          <w:iCs/>
          <w:color w:val="000000"/>
        </w:rPr>
        <w:t>Nature Reviews. Genetics</w:t>
      </w:r>
      <w:r w:rsidRPr="00435BD7">
        <w:rPr>
          <w:color w:val="000000"/>
        </w:rPr>
        <w:t xml:space="preserve">, </w:t>
      </w:r>
      <w:r w:rsidRPr="0056506E">
        <w:rPr>
          <w:b/>
          <w:iCs/>
          <w:color w:val="000000"/>
        </w:rPr>
        <w:t>15</w:t>
      </w:r>
      <w:r w:rsidRPr="00435BD7">
        <w:rPr>
          <w:color w:val="000000"/>
        </w:rPr>
        <w:t>(4)</w:t>
      </w:r>
      <w:r w:rsidR="0056506E">
        <w:rPr>
          <w:color w:val="000000"/>
        </w:rPr>
        <w:t>:</w:t>
      </w:r>
      <w:r w:rsidRPr="00435BD7">
        <w:rPr>
          <w:color w:val="000000"/>
        </w:rPr>
        <w:t xml:space="preserve"> 247–258.  https://doi.org/10.1038/nrg3688</w:t>
      </w:r>
    </w:p>
    <w:p w14:paraId="135458C3" w14:textId="65384A39" w:rsidR="00D64A77" w:rsidRPr="00435BD7" w:rsidRDefault="001554ED" w:rsidP="00C56A3D">
      <w:pPr>
        <w:widowControl w:val="0"/>
        <w:pBdr>
          <w:top w:val="nil"/>
          <w:left w:val="nil"/>
          <w:bottom w:val="nil"/>
          <w:right w:val="nil"/>
          <w:between w:val="nil"/>
        </w:pBdr>
        <w:spacing w:line="480" w:lineRule="auto"/>
        <w:ind w:left="480" w:hanging="480"/>
      </w:pPr>
      <w:r w:rsidRPr="00435BD7">
        <w:t xml:space="preserve">Parker, L. M., Ross, P. M., &amp; O’Connor, W. A. (2011). Populations of the Sydney rock oyster, Saccostrea </w:t>
      </w:r>
      <w:proofErr w:type="spellStart"/>
      <w:r w:rsidRPr="00435BD7">
        <w:t>glomerata</w:t>
      </w:r>
      <w:proofErr w:type="spellEnd"/>
      <w:r w:rsidRPr="00435BD7">
        <w:t xml:space="preserve">, vary in response to ocean acidification. </w:t>
      </w:r>
      <w:r w:rsidRPr="00435BD7">
        <w:rPr>
          <w:i/>
        </w:rPr>
        <w:t>Marine Biology</w:t>
      </w:r>
      <w:r w:rsidRPr="00435BD7">
        <w:t xml:space="preserve">, </w:t>
      </w:r>
      <w:r w:rsidRPr="00435BD7">
        <w:rPr>
          <w:b/>
        </w:rPr>
        <w:t>158</w:t>
      </w:r>
      <w:r w:rsidRPr="00435BD7">
        <w:t>(3)</w:t>
      </w:r>
      <w:r w:rsidR="0056506E">
        <w:t>:</w:t>
      </w:r>
      <w:r w:rsidRPr="00435BD7">
        <w:t xml:space="preserve"> 689–697. https://doi.org/10.1007/s00227-010-1592-4</w:t>
      </w:r>
    </w:p>
    <w:p w14:paraId="25DDEA03" w14:textId="3E40CD06" w:rsidR="00D64A77" w:rsidRPr="00435BD7" w:rsidRDefault="001554ED" w:rsidP="00C56A3D">
      <w:pPr>
        <w:widowControl w:val="0"/>
        <w:pBdr>
          <w:top w:val="nil"/>
          <w:left w:val="nil"/>
          <w:bottom w:val="nil"/>
          <w:right w:val="nil"/>
          <w:between w:val="nil"/>
        </w:pBdr>
        <w:spacing w:line="480" w:lineRule="auto"/>
        <w:ind w:left="480" w:hanging="480"/>
      </w:pPr>
      <w:r w:rsidRPr="00435BD7">
        <w:t xml:space="preserve">Parker, L. M., Ross, P. M., O’Connor, W. A., </w:t>
      </w:r>
      <w:proofErr w:type="spellStart"/>
      <w:r w:rsidRPr="00435BD7">
        <w:t>Borysko</w:t>
      </w:r>
      <w:proofErr w:type="spellEnd"/>
      <w:r w:rsidRPr="00435BD7">
        <w:t xml:space="preserve">, L., </w:t>
      </w:r>
      <w:proofErr w:type="spellStart"/>
      <w:r w:rsidRPr="00435BD7">
        <w:t>Raftos</w:t>
      </w:r>
      <w:proofErr w:type="spellEnd"/>
      <w:r w:rsidRPr="00435BD7">
        <w:t xml:space="preserve">, D. A., &amp; </w:t>
      </w:r>
      <w:proofErr w:type="spellStart"/>
      <w:r w:rsidRPr="00435BD7">
        <w:t>Pörtner</w:t>
      </w:r>
      <w:proofErr w:type="spellEnd"/>
      <w:r w:rsidRPr="00435BD7">
        <w:t xml:space="preserve">, H.O. (2012). Adult exposure influences offspring response to ocean acidification in oysters. </w:t>
      </w:r>
      <w:r w:rsidRPr="00435BD7">
        <w:rPr>
          <w:i/>
        </w:rPr>
        <w:t>Global Change Biology</w:t>
      </w:r>
      <w:r w:rsidRPr="00435BD7">
        <w:t xml:space="preserve">, </w:t>
      </w:r>
      <w:r w:rsidRPr="00435BD7">
        <w:rPr>
          <w:b/>
        </w:rPr>
        <w:t>18</w:t>
      </w:r>
      <w:r w:rsidRPr="00435BD7">
        <w:t>(1)</w:t>
      </w:r>
      <w:r w:rsidR="0056506E">
        <w:t>:</w:t>
      </w:r>
      <w:r w:rsidRPr="00435BD7">
        <w:t xml:space="preserve"> 82–92. https://doi.org/10.1111/j.1365-2486.2011.02520.x</w:t>
      </w:r>
    </w:p>
    <w:p w14:paraId="4D673F45" w14:textId="650064FE" w:rsidR="00D64A77" w:rsidRPr="00435BD7" w:rsidRDefault="001554ED" w:rsidP="00C56A3D">
      <w:pPr>
        <w:widowControl w:val="0"/>
        <w:pBdr>
          <w:top w:val="nil"/>
          <w:left w:val="nil"/>
          <w:bottom w:val="nil"/>
          <w:right w:val="nil"/>
          <w:between w:val="nil"/>
        </w:pBdr>
        <w:spacing w:line="480" w:lineRule="auto"/>
        <w:ind w:left="480" w:hanging="480"/>
      </w:pPr>
      <w:r w:rsidRPr="00435BD7">
        <w:t xml:space="preserve">Parker, L. M., O’Connor, W. A., </w:t>
      </w:r>
      <w:proofErr w:type="spellStart"/>
      <w:r w:rsidRPr="00435BD7">
        <w:t>Raftos</w:t>
      </w:r>
      <w:proofErr w:type="spellEnd"/>
      <w:r w:rsidRPr="00435BD7">
        <w:t xml:space="preserve">, D. A., </w:t>
      </w:r>
      <w:proofErr w:type="spellStart"/>
      <w:r w:rsidRPr="00435BD7">
        <w:t>Pörtner</w:t>
      </w:r>
      <w:proofErr w:type="spellEnd"/>
      <w:r w:rsidRPr="00435BD7">
        <w:t xml:space="preserve">, H.O., &amp; Ross, &amp; P. M. (2015). Persistence of Positive Carryover Effects in the Oyster, Saccostrea </w:t>
      </w:r>
      <w:proofErr w:type="spellStart"/>
      <w:r w:rsidRPr="00435BD7">
        <w:t>glomerata</w:t>
      </w:r>
      <w:proofErr w:type="spellEnd"/>
      <w:r w:rsidRPr="00435BD7">
        <w:t xml:space="preserve">, following Transgenerational Exposure to Ocean Acidification. </w:t>
      </w:r>
      <w:proofErr w:type="spellStart"/>
      <w:r w:rsidRPr="00435BD7">
        <w:rPr>
          <w:i/>
        </w:rPr>
        <w:t>PloS</w:t>
      </w:r>
      <w:proofErr w:type="spellEnd"/>
      <w:r w:rsidRPr="00435BD7">
        <w:rPr>
          <w:i/>
        </w:rPr>
        <w:t xml:space="preserve"> One</w:t>
      </w:r>
      <w:r w:rsidRPr="00435BD7">
        <w:t xml:space="preserve">, </w:t>
      </w:r>
      <w:r w:rsidRPr="00435BD7">
        <w:rPr>
          <w:b/>
        </w:rPr>
        <w:t>10</w:t>
      </w:r>
      <w:r w:rsidRPr="00435BD7">
        <w:t>(7)</w:t>
      </w:r>
      <w:r w:rsidR="0056506E">
        <w:t>:</w:t>
      </w:r>
      <w:r w:rsidRPr="00435BD7">
        <w:t xml:space="preserve"> e0132276. https://doi.org/10.1371/journal.pone.0132276</w:t>
      </w:r>
    </w:p>
    <w:p w14:paraId="0CF30D2A" w14:textId="2788BAF9"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Parker, L. M., O’Connor, W. A., Byrne, M., Coleman, R. A., Virtue, P., Dove, M., </w:t>
      </w:r>
      <w:r w:rsidRPr="00435BD7">
        <w:t xml:space="preserve">Gibbs, M., </w:t>
      </w:r>
      <w:proofErr w:type="spellStart"/>
      <w:r w:rsidRPr="00435BD7">
        <w:t>Spohr</w:t>
      </w:r>
      <w:proofErr w:type="spellEnd"/>
      <w:r w:rsidRPr="00435BD7">
        <w:t xml:space="preserve">, L., </w:t>
      </w:r>
      <w:proofErr w:type="spellStart"/>
      <w:r w:rsidRPr="00435BD7">
        <w:t>Scanes</w:t>
      </w:r>
      <w:proofErr w:type="spellEnd"/>
      <w:r w:rsidRPr="00435BD7">
        <w:t xml:space="preserve">, E., &amp; </w:t>
      </w:r>
      <w:r w:rsidRPr="00435BD7">
        <w:rPr>
          <w:color w:val="000000"/>
        </w:rPr>
        <w:t xml:space="preserve">Ross, P. M. (2017). Adult exposure to ocean acidification is maladaptive for larvae of the Sydney rock oyster Saccostrea </w:t>
      </w:r>
      <w:proofErr w:type="spellStart"/>
      <w:r w:rsidRPr="00435BD7">
        <w:rPr>
          <w:color w:val="000000"/>
        </w:rPr>
        <w:t>glomerata</w:t>
      </w:r>
      <w:proofErr w:type="spellEnd"/>
      <w:r w:rsidRPr="00435BD7">
        <w:rPr>
          <w:color w:val="000000"/>
        </w:rPr>
        <w:t xml:space="preserve"> in the presence of multiple stressors. </w:t>
      </w:r>
      <w:r w:rsidRPr="00435BD7">
        <w:rPr>
          <w:i/>
          <w:color w:val="000000"/>
        </w:rPr>
        <w:t>Biology Letters</w:t>
      </w:r>
      <w:r w:rsidRPr="00435BD7">
        <w:rPr>
          <w:color w:val="000000"/>
        </w:rPr>
        <w:t xml:space="preserve">, </w:t>
      </w:r>
      <w:r w:rsidRPr="00435BD7">
        <w:rPr>
          <w:b/>
          <w:color w:val="000000"/>
        </w:rPr>
        <w:t>13</w:t>
      </w:r>
      <w:r w:rsidR="0056506E">
        <w:rPr>
          <w:color w:val="000000"/>
        </w:rPr>
        <w:t xml:space="preserve">: </w:t>
      </w:r>
      <w:r w:rsidR="0056506E" w:rsidRPr="0056506E">
        <w:rPr>
          <w:color w:val="000000"/>
        </w:rPr>
        <w:t>20160798</w:t>
      </w:r>
      <w:r w:rsidRPr="00435BD7">
        <w:rPr>
          <w:color w:val="000000"/>
        </w:rPr>
        <w:t>. https://doi.org/10.1098/rsbl.2016.0798</w:t>
      </w:r>
    </w:p>
    <w:p w14:paraId="634CC897" w14:textId="39F76BFB"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Parker, L. M., O’Connor, W. A., Byrne, M., Dove, M., Coleman, R. A., </w:t>
      </w:r>
      <w:proofErr w:type="spellStart"/>
      <w:r w:rsidRPr="00435BD7">
        <w:rPr>
          <w:color w:val="000000"/>
        </w:rPr>
        <w:t>Pörtner</w:t>
      </w:r>
      <w:proofErr w:type="spellEnd"/>
      <w:r w:rsidRPr="00435BD7">
        <w:rPr>
          <w:color w:val="000000"/>
        </w:rPr>
        <w:t xml:space="preserve">, H.O., </w:t>
      </w:r>
      <w:proofErr w:type="spellStart"/>
      <w:r w:rsidRPr="00435BD7">
        <w:rPr>
          <w:color w:val="000000"/>
        </w:rPr>
        <w:t>Scanes</w:t>
      </w:r>
      <w:proofErr w:type="spellEnd"/>
      <w:r w:rsidRPr="00435BD7">
        <w:rPr>
          <w:color w:val="000000"/>
        </w:rPr>
        <w:t>, E., Virtue, P</w:t>
      </w:r>
      <w:r w:rsidRPr="00435BD7">
        <w:t>., Gibbs, M.,</w:t>
      </w:r>
      <w:r w:rsidRPr="00435BD7">
        <w:rPr>
          <w:color w:val="000000"/>
        </w:rPr>
        <w:t xml:space="preserve"> &amp; Ross, P. M. (2018). Ocean acidification but not warming alters </w:t>
      </w:r>
      <w:r w:rsidRPr="00435BD7">
        <w:rPr>
          <w:color w:val="000000"/>
        </w:rPr>
        <w:lastRenderedPageBreak/>
        <w:t xml:space="preserve">sex determination in the Sydney rock oyster, Saccostrea </w:t>
      </w:r>
      <w:proofErr w:type="spellStart"/>
      <w:r w:rsidRPr="00435BD7">
        <w:rPr>
          <w:color w:val="000000"/>
        </w:rPr>
        <w:t>glomerata</w:t>
      </w:r>
      <w:proofErr w:type="spellEnd"/>
      <w:r w:rsidRPr="00435BD7">
        <w:rPr>
          <w:color w:val="000000"/>
        </w:rPr>
        <w:t xml:space="preserve">. </w:t>
      </w:r>
      <w:r w:rsidRPr="00435BD7">
        <w:rPr>
          <w:i/>
          <w:color w:val="000000"/>
        </w:rPr>
        <w:t>Proc. R. Soc. B</w:t>
      </w:r>
      <w:r w:rsidRPr="00435BD7">
        <w:rPr>
          <w:color w:val="000000"/>
        </w:rPr>
        <w:t xml:space="preserve">, </w:t>
      </w:r>
      <w:r w:rsidRPr="00435BD7">
        <w:rPr>
          <w:b/>
          <w:color w:val="000000"/>
        </w:rPr>
        <w:t>285</w:t>
      </w:r>
      <w:r w:rsidRPr="00435BD7">
        <w:rPr>
          <w:color w:val="000000"/>
        </w:rPr>
        <w:t>(1872)</w:t>
      </w:r>
      <w:r w:rsidR="0056506E">
        <w:rPr>
          <w:color w:val="000000"/>
        </w:rPr>
        <w:t>:</w:t>
      </w:r>
      <w:r w:rsidRPr="00435BD7">
        <w:rPr>
          <w:color w:val="000000"/>
        </w:rPr>
        <w:t xml:space="preserve"> 20172869. https://doi.org/10.1098/rspb.2017.2869</w:t>
      </w:r>
    </w:p>
    <w:p w14:paraId="13B83BE0" w14:textId="5CCC6948"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Pelletier, G., Roberts, M., </w:t>
      </w:r>
      <w:proofErr w:type="spellStart"/>
      <w:r w:rsidRPr="00435BD7">
        <w:rPr>
          <w:color w:val="000000"/>
        </w:rPr>
        <w:t>Keyzers</w:t>
      </w:r>
      <w:proofErr w:type="spellEnd"/>
      <w:r w:rsidRPr="00435BD7">
        <w:rPr>
          <w:color w:val="000000"/>
        </w:rPr>
        <w:t xml:space="preserve">, M., &amp; </w:t>
      </w:r>
      <w:proofErr w:type="spellStart"/>
      <w:r w:rsidRPr="00435BD7">
        <w:rPr>
          <w:color w:val="000000"/>
        </w:rPr>
        <w:t>Alin</w:t>
      </w:r>
      <w:proofErr w:type="spellEnd"/>
      <w:r w:rsidRPr="00435BD7">
        <w:rPr>
          <w:color w:val="000000"/>
        </w:rPr>
        <w:t>, S. R. (2018). Seasonal variation in aragonite saturation in surface waters of Puget Sound – a pilot study</w:t>
      </w:r>
      <w:r w:rsidRPr="00435BD7">
        <w:t xml:space="preserve">. </w:t>
      </w:r>
      <w:r w:rsidRPr="00435BD7">
        <w:rPr>
          <w:i/>
        </w:rPr>
        <w:t>Elementa: Science of the Anthropocene</w:t>
      </w:r>
      <w:r w:rsidRPr="00435BD7">
        <w:t xml:space="preserve">, </w:t>
      </w:r>
      <w:r w:rsidRPr="00435BD7">
        <w:rPr>
          <w:b/>
        </w:rPr>
        <w:t>6</w:t>
      </w:r>
      <w:r w:rsidRPr="00435BD7">
        <w:t>(1)</w:t>
      </w:r>
      <w:r w:rsidR="0056506E">
        <w:t>:</w:t>
      </w:r>
      <w:r w:rsidRPr="00435BD7">
        <w:t xml:space="preserve"> 5. http://doi.org/10.1525/elementa.270 </w:t>
      </w:r>
    </w:p>
    <w:p w14:paraId="1DDDACE3" w14:textId="21F303D4"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Perez, M. F., &amp; Lehner, B. (2019). Intergenerational and transgenerational epigenetic inheritance in animals. </w:t>
      </w:r>
      <w:r w:rsidRPr="00435BD7">
        <w:rPr>
          <w:i/>
          <w:color w:val="000000"/>
        </w:rPr>
        <w:t>Nature Cell Biology</w:t>
      </w:r>
      <w:r w:rsidRPr="00435BD7">
        <w:rPr>
          <w:color w:val="000000"/>
        </w:rPr>
        <w:t xml:space="preserve">, </w:t>
      </w:r>
      <w:r w:rsidRPr="00435BD7">
        <w:rPr>
          <w:b/>
          <w:color w:val="000000"/>
        </w:rPr>
        <w:t>21</w:t>
      </w:r>
      <w:r w:rsidRPr="00435BD7">
        <w:rPr>
          <w:color w:val="000000"/>
        </w:rPr>
        <w:t>(2)</w:t>
      </w:r>
      <w:r w:rsidR="0056506E">
        <w:rPr>
          <w:color w:val="000000"/>
        </w:rPr>
        <w:t>:</w:t>
      </w:r>
      <w:r w:rsidRPr="00435BD7">
        <w:rPr>
          <w:color w:val="000000"/>
        </w:rPr>
        <w:t xml:space="preserve"> 143–151. https://doi.org/10.1038/s41556-018-0242-9</w:t>
      </w:r>
    </w:p>
    <w:p w14:paraId="5C3E2FE5" w14:textId="62401677"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Philippart</w:t>
      </w:r>
      <w:proofErr w:type="spellEnd"/>
      <w:r w:rsidRPr="00435BD7">
        <w:rPr>
          <w:color w:val="000000"/>
        </w:rPr>
        <w:t xml:space="preserve">, C. J. M., van </w:t>
      </w:r>
      <w:proofErr w:type="spellStart"/>
      <w:r w:rsidRPr="00435BD7">
        <w:rPr>
          <w:color w:val="000000"/>
        </w:rPr>
        <w:t>Aken</w:t>
      </w:r>
      <w:proofErr w:type="spellEnd"/>
      <w:r w:rsidRPr="00435BD7">
        <w:rPr>
          <w:color w:val="000000"/>
        </w:rPr>
        <w:t xml:space="preserve">, H. M., </w:t>
      </w:r>
      <w:proofErr w:type="spellStart"/>
      <w:r w:rsidRPr="00435BD7">
        <w:rPr>
          <w:color w:val="000000"/>
        </w:rPr>
        <w:t>Beukema</w:t>
      </w:r>
      <w:proofErr w:type="spellEnd"/>
      <w:r w:rsidRPr="00435BD7">
        <w:rPr>
          <w:color w:val="000000"/>
        </w:rPr>
        <w:t xml:space="preserve">, J. J., Bos, O. G., </w:t>
      </w:r>
      <w:proofErr w:type="spellStart"/>
      <w:r w:rsidRPr="00435BD7">
        <w:rPr>
          <w:color w:val="000000"/>
        </w:rPr>
        <w:t>Cadée</w:t>
      </w:r>
      <w:proofErr w:type="spellEnd"/>
      <w:r w:rsidRPr="00435BD7">
        <w:rPr>
          <w:color w:val="000000"/>
        </w:rPr>
        <w:t xml:space="preserve">, G. C., &amp; Dekker, R. (2003). Climate-related changes in recruitment of the bivalve </w:t>
      </w:r>
      <w:proofErr w:type="spellStart"/>
      <w:r w:rsidRPr="00435BD7">
        <w:rPr>
          <w:color w:val="000000"/>
        </w:rPr>
        <w:t>Macoma</w:t>
      </w:r>
      <w:proofErr w:type="spellEnd"/>
      <w:r w:rsidRPr="00435BD7">
        <w:rPr>
          <w:color w:val="000000"/>
        </w:rPr>
        <w:t xml:space="preserve"> </w:t>
      </w:r>
      <w:proofErr w:type="spellStart"/>
      <w:r w:rsidRPr="00435BD7">
        <w:rPr>
          <w:color w:val="000000"/>
        </w:rPr>
        <w:t>balthica</w:t>
      </w:r>
      <w:proofErr w:type="spellEnd"/>
      <w:r w:rsidRPr="00435BD7">
        <w:rPr>
          <w:color w:val="000000"/>
        </w:rPr>
        <w:t xml:space="preserve">. </w:t>
      </w:r>
      <w:r w:rsidRPr="00435BD7">
        <w:rPr>
          <w:i/>
          <w:color w:val="000000"/>
        </w:rPr>
        <w:t>Limnology and Oceanography</w:t>
      </w:r>
      <w:r w:rsidRPr="00435BD7">
        <w:rPr>
          <w:color w:val="000000"/>
        </w:rPr>
        <w:t xml:space="preserve">, </w:t>
      </w:r>
      <w:r w:rsidRPr="00435BD7">
        <w:rPr>
          <w:b/>
          <w:color w:val="000000"/>
        </w:rPr>
        <w:t>48</w:t>
      </w:r>
      <w:r w:rsidRPr="00435BD7">
        <w:rPr>
          <w:color w:val="000000"/>
        </w:rPr>
        <w:t>(6)</w:t>
      </w:r>
      <w:r w:rsidR="0056506E">
        <w:rPr>
          <w:color w:val="000000"/>
        </w:rPr>
        <w:t>:</w:t>
      </w:r>
      <w:r w:rsidRPr="00435BD7">
        <w:rPr>
          <w:color w:val="000000"/>
        </w:rPr>
        <w:t xml:space="preserve"> 2171–2185. </w:t>
      </w:r>
      <w:r w:rsidRPr="00435BD7">
        <w:t>https://doi.org/10.4319/lo.2003.48.6.2171</w:t>
      </w:r>
    </w:p>
    <w:p w14:paraId="58C03D34" w14:textId="2FD4BE17"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Polson, M. P., &amp; </w:t>
      </w:r>
      <w:proofErr w:type="spellStart"/>
      <w:r w:rsidRPr="00435BD7">
        <w:rPr>
          <w:color w:val="000000"/>
        </w:rPr>
        <w:t>Zacherl</w:t>
      </w:r>
      <w:proofErr w:type="spellEnd"/>
      <w:r w:rsidRPr="00435BD7">
        <w:rPr>
          <w:color w:val="000000"/>
        </w:rPr>
        <w:t xml:space="preserve">, D. C. (2009). Geographic Distribution and Intertidal Population Status for the Olympia Oyster, </w:t>
      </w:r>
      <w:proofErr w:type="spellStart"/>
      <w:r w:rsidRPr="00435BD7">
        <w:rPr>
          <w:color w:val="000000"/>
        </w:rPr>
        <w:t>Ostrea</w:t>
      </w:r>
      <w:proofErr w:type="spellEnd"/>
      <w:r w:rsidRPr="00435BD7">
        <w:rPr>
          <w:color w:val="000000"/>
        </w:rPr>
        <w:t xml:space="preserve"> </w:t>
      </w:r>
      <w:proofErr w:type="spellStart"/>
      <w:r w:rsidRPr="00435BD7">
        <w:rPr>
          <w:color w:val="000000"/>
        </w:rPr>
        <w:t>lurida</w:t>
      </w:r>
      <w:proofErr w:type="spellEnd"/>
      <w:r w:rsidRPr="00435BD7">
        <w:rPr>
          <w:color w:val="000000"/>
        </w:rPr>
        <w:t xml:space="preserve"> Carpenter 1864, from Alaska to Baja. </w:t>
      </w:r>
      <w:r w:rsidRPr="00435BD7">
        <w:rPr>
          <w:i/>
          <w:color w:val="000000"/>
        </w:rPr>
        <w:t>Journal of Shellfish Research</w:t>
      </w:r>
      <w:r w:rsidRPr="00435BD7">
        <w:rPr>
          <w:color w:val="000000"/>
        </w:rPr>
        <w:t xml:space="preserve">, </w:t>
      </w:r>
      <w:r w:rsidRPr="00435BD7">
        <w:rPr>
          <w:b/>
          <w:color w:val="000000"/>
        </w:rPr>
        <w:t>28</w:t>
      </w:r>
      <w:r w:rsidRPr="00435BD7">
        <w:rPr>
          <w:color w:val="000000"/>
        </w:rPr>
        <w:t>(1)</w:t>
      </w:r>
      <w:r w:rsidR="0056506E">
        <w:rPr>
          <w:color w:val="000000"/>
        </w:rPr>
        <w:t>:</w:t>
      </w:r>
      <w:r w:rsidRPr="00435BD7">
        <w:rPr>
          <w:color w:val="000000"/>
        </w:rPr>
        <w:t xml:space="preserve"> 69–77. https://doi.org/10.2983/035.028.0113</w:t>
      </w:r>
    </w:p>
    <w:p w14:paraId="61F8EC00" w14:textId="085179BB"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Przeslawski</w:t>
      </w:r>
      <w:proofErr w:type="spellEnd"/>
      <w:r w:rsidRPr="00435BD7">
        <w:rPr>
          <w:color w:val="000000"/>
        </w:rPr>
        <w:t xml:space="preserve">, R., Byrne, M., &amp; </w:t>
      </w:r>
      <w:proofErr w:type="spellStart"/>
      <w:r w:rsidRPr="00435BD7">
        <w:rPr>
          <w:color w:val="000000"/>
        </w:rPr>
        <w:t>Mellin</w:t>
      </w:r>
      <w:proofErr w:type="spellEnd"/>
      <w:r w:rsidRPr="00435BD7">
        <w:rPr>
          <w:color w:val="000000"/>
        </w:rPr>
        <w:t xml:space="preserve">, C. (2015). A review and meta-analysis of the effects of multiple abiotic stressors on marine embryos and larvae. </w:t>
      </w:r>
      <w:r w:rsidRPr="00435BD7">
        <w:rPr>
          <w:i/>
          <w:color w:val="000000"/>
        </w:rPr>
        <w:t>Global Change Biology</w:t>
      </w:r>
      <w:r w:rsidRPr="00435BD7">
        <w:rPr>
          <w:color w:val="000000"/>
        </w:rPr>
        <w:t xml:space="preserve">, </w:t>
      </w:r>
      <w:r w:rsidRPr="00435BD7">
        <w:rPr>
          <w:b/>
          <w:color w:val="000000"/>
        </w:rPr>
        <w:t>21</w:t>
      </w:r>
      <w:r w:rsidRPr="00435BD7">
        <w:rPr>
          <w:color w:val="000000"/>
        </w:rPr>
        <w:t>(6)</w:t>
      </w:r>
      <w:r w:rsidR="0056506E">
        <w:rPr>
          <w:color w:val="000000"/>
        </w:rPr>
        <w:t>:</w:t>
      </w:r>
      <w:r w:rsidRPr="00435BD7">
        <w:rPr>
          <w:color w:val="000000"/>
        </w:rPr>
        <w:t xml:space="preserve"> 2122–2140. https://doi.org/10.1111/gcb.12833</w:t>
      </w:r>
    </w:p>
    <w:p w14:paraId="25829C5C" w14:textId="388DAD8C"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Putnam, H. M., &amp; Gates, R. D. (2015). Preconditioning in the reef-building coral </w:t>
      </w:r>
      <w:proofErr w:type="spellStart"/>
      <w:r w:rsidRPr="00435BD7">
        <w:rPr>
          <w:color w:val="000000"/>
        </w:rPr>
        <w:t>Pocillopora</w:t>
      </w:r>
      <w:proofErr w:type="spellEnd"/>
      <w:r w:rsidRPr="00435BD7">
        <w:rPr>
          <w:color w:val="000000"/>
        </w:rPr>
        <w:t xml:space="preserve"> </w:t>
      </w:r>
      <w:proofErr w:type="spellStart"/>
      <w:r w:rsidRPr="00435BD7">
        <w:rPr>
          <w:color w:val="000000"/>
        </w:rPr>
        <w:t>damicornis</w:t>
      </w:r>
      <w:proofErr w:type="spellEnd"/>
      <w:r w:rsidRPr="00435BD7">
        <w:rPr>
          <w:color w:val="000000"/>
        </w:rPr>
        <w:t xml:space="preserve"> and the potential for trans-generational acclimatization in coral larvae under future climate change conditions. </w:t>
      </w:r>
      <w:r w:rsidRPr="00435BD7">
        <w:rPr>
          <w:i/>
          <w:color w:val="000000"/>
        </w:rPr>
        <w:t>The Journal of Experimental Biology</w:t>
      </w:r>
      <w:r w:rsidRPr="00435BD7">
        <w:rPr>
          <w:color w:val="000000"/>
        </w:rPr>
        <w:t xml:space="preserve">, </w:t>
      </w:r>
      <w:r w:rsidRPr="00435BD7">
        <w:rPr>
          <w:b/>
          <w:color w:val="000000"/>
        </w:rPr>
        <w:t>218</w:t>
      </w:r>
      <w:r w:rsidRPr="00435BD7">
        <w:rPr>
          <w:color w:val="000000"/>
        </w:rPr>
        <w:t>(15)</w:t>
      </w:r>
      <w:r w:rsidR="0056506E">
        <w:rPr>
          <w:color w:val="000000"/>
        </w:rPr>
        <w:t>:</w:t>
      </w:r>
      <w:r w:rsidRPr="00435BD7">
        <w:rPr>
          <w:color w:val="000000"/>
        </w:rPr>
        <w:t xml:space="preserve"> 2365–2372. https://doi.org/10.1242/jeb.123018</w:t>
      </w:r>
    </w:p>
    <w:p w14:paraId="1EB53F87" w14:textId="1865A804"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R Core Team. (2016). R: A language and environment for statistical computing (Version 1.1.383). Retrieved from https://www.R-project.org/</w:t>
      </w:r>
    </w:p>
    <w:p w14:paraId="2A52EA2C" w14:textId="4693BDB0"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lastRenderedPageBreak/>
        <w:t xml:space="preserve">Rodgers, A. B., Morgan, C. P., Bronson, S. L., </w:t>
      </w:r>
      <w:proofErr w:type="spellStart"/>
      <w:r w:rsidRPr="00435BD7">
        <w:rPr>
          <w:color w:val="000000"/>
        </w:rPr>
        <w:t>Revello</w:t>
      </w:r>
      <w:proofErr w:type="spellEnd"/>
      <w:r w:rsidRPr="00435BD7">
        <w:rPr>
          <w:color w:val="000000"/>
        </w:rPr>
        <w:t xml:space="preserve">, S., &amp; Bale, T. L. (2013). Paternal stress exposure alters sperm microRNA content and reprograms offspring HPA stress axis regulation. </w:t>
      </w:r>
      <w:r w:rsidRPr="00435BD7">
        <w:rPr>
          <w:i/>
          <w:color w:val="000000"/>
        </w:rPr>
        <w:t>The Journal of Neuroscience: The Official Journal of the Society for Neuroscience</w:t>
      </w:r>
      <w:r w:rsidRPr="00435BD7">
        <w:rPr>
          <w:color w:val="000000"/>
        </w:rPr>
        <w:t xml:space="preserve">, </w:t>
      </w:r>
      <w:r w:rsidRPr="00435BD7">
        <w:rPr>
          <w:b/>
          <w:color w:val="000000"/>
        </w:rPr>
        <w:t>33</w:t>
      </w:r>
      <w:r w:rsidRPr="00435BD7">
        <w:rPr>
          <w:color w:val="000000"/>
        </w:rPr>
        <w:t>(21)</w:t>
      </w:r>
      <w:r w:rsidR="0056506E">
        <w:rPr>
          <w:color w:val="000000"/>
        </w:rPr>
        <w:t>:</w:t>
      </w:r>
      <w:r w:rsidRPr="00435BD7">
        <w:rPr>
          <w:color w:val="000000"/>
        </w:rPr>
        <w:t xml:space="preserve"> 9003–9012. https://doi.org/10.1523/JNEUROSCI.0914-13.2013</w:t>
      </w:r>
    </w:p>
    <w:p w14:paraId="49EE6271" w14:textId="0E476EF3"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Ross, P. M., Parker, L., &amp; Byrne, M. (2016). Transgenerational responses of </w:t>
      </w:r>
      <w:proofErr w:type="spellStart"/>
      <w:r w:rsidRPr="00435BD7">
        <w:rPr>
          <w:color w:val="000000"/>
        </w:rPr>
        <w:t>molluscs</w:t>
      </w:r>
      <w:proofErr w:type="spellEnd"/>
      <w:r w:rsidRPr="00435BD7">
        <w:rPr>
          <w:color w:val="000000"/>
        </w:rPr>
        <w:t xml:space="preserve"> and echinoderms to changing ocean conditions. </w:t>
      </w:r>
      <w:r w:rsidRPr="00435BD7">
        <w:rPr>
          <w:i/>
          <w:color w:val="000000"/>
        </w:rPr>
        <w:t>ICES Journal of Marine Science: Journal Du Conseil</w:t>
      </w:r>
      <w:r w:rsidRPr="00435BD7">
        <w:rPr>
          <w:color w:val="000000"/>
        </w:rPr>
        <w:t xml:space="preserve">, </w:t>
      </w:r>
      <w:r w:rsidRPr="00435BD7">
        <w:rPr>
          <w:b/>
          <w:color w:val="000000"/>
        </w:rPr>
        <w:t>73</w:t>
      </w:r>
      <w:r w:rsidRPr="00435BD7">
        <w:rPr>
          <w:color w:val="000000"/>
        </w:rPr>
        <w:t>(3)</w:t>
      </w:r>
      <w:r w:rsidR="0056506E">
        <w:rPr>
          <w:color w:val="000000"/>
        </w:rPr>
        <w:t>:</w:t>
      </w:r>
      <w:r w:rsidRPr="00435BD7">
        <w:rPr>
          <w:color w:val="000000"/>
        </w:rPr>
        <w:t xml:space="preserve"> 537–549. https://doi.org/10.1093/icesjms/fsv254</w:t>
      </w:r>
    </w:p>
    <w:p w14:paraId="59435554" w14:textId="1009905B"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Sanford, E., &amp; Kelly, M. W. (2011). Local adaptation in marine invertebrates. </w:t>
      </w:r>
      <w:r w:rsidRPr="00435BD7">
        <w:rPr>
          <w:i/>
          <w:color w:val="000000"/>
        </w:rPr>
        <w:t>Annual Review of Marine Science</w:t>
      </w:r>
      <w:r w:rsidRPr="00435BD7">
        <w:rPr>
          <w:color w:val="000000"/>
        </w:rPr>
        <w:t xml:space="preserve">, </w:t>
      </w:r>
      <w:r w:rsidRPr="00435BD7">
        <w:rPr>
          <w:b/>
          <w:color w:val="000000"/>
        </w:rPr>
        <w:t>3</w:t>
      </w:r>
      <w:r w:rsidR="0056506E">
        <w:rPr>
          <w:color w:val="000000"/>
        </w:rPr>
        <w:t>:</w:t>
      </w:r>
      <w:r w:rsidRPr="00435BD7">
        <w:rPr>
          <w:color w:val="000000"/>
        </w:rPr>
        <w:t xml:space="preserve"> 509–535. https://doi.org/10.1146/annurev-marine-120709-142756</w:t>
      </w:r>
    </w:p>
    <w:p w14:paraId="072D4DE9" w14:textId="09F24859"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Santerre</w:t>
      </w:r>
      <w:proofErr w:type="spellEnd"/>
      <w:r w:rsidRPr="00435BD7">
        <w:rPr>
          <w:color w:val="000000"/>
        </w:rPr>
        <w:t xml:space="preserve">, C., </w:t>
      </w:r>
      <w:proofErr w:type="spellStart"/>
      <w:r w:rsidRPr="00435BD7">
        <w:rPr>
          <w:color w:val="000000"/>
        </w:rPr>
        <w:t>Sourdaine</w:t>
      </w:r>
      <w:proofErr w:type="spellEnd"/>
      <w:r w:rsidRPr="00435BD7">
        <w:rPr>
          <w:color w:val="000000"/>
        </w:rPr>
        <w:t xml:space="preserve">, P., Marc, N., </w:t>
      </w:r>
      <w:proofErr w:type="spellStart"/>
      <w:r w:rsidRPr="00435BD7">
        <w:rPr>
          <w:color w:val="000000"/>
        </w:rPr>
        <w:t>Mingant</w:t>
      </w:r>
      <w:proofErr w:type="spellEnd"/>
      <w:r w:rsidRPr="00435BD7">
        <w:rPr>
          <w:color w:val="000000"/>
        </w:rPr>
        <w:t xml:space="preserve">, C., Robert, R., &amp; Martinez, A.-S. (2013). Oyster sex determination is influenced by temperature - first clues in spat during first gonadic differentiation and gametogenesis. </w:t>
      </w:r>
      <w:r w:rsidRPr="00435BD7">
        <w:rPr>
          <w:i/>
          <w:color w:val="000000"/>
        </w:rPr>
        <w:t>Comparative Biochemistry and Physiology. Part A, Molecular &amp; Integrative Physiology</w:t>
      </w:r>
      <w:r w:rsidRPr="00435BD7">
        <w:rPr>
          <w:color w:val="000000"/>
        </w:rPr>
        <w:t xml:space="preserve">, </w:t>
      </w:r>
      <w:r w:rsidRPr="00435BD7">
        <w:rPr>
          <w:b/>
          <w:color w:val="000000"/>
        </w:rPr>
        <w:t>165</w:t>
      </w:r>
      <w:r w:rsidRPr="00435BD7">
        <w:rPr>
          <w:color w:val="000000"/>
        </w:rPr>
        <w:t>(1)</w:t>
      </w:r>
      <w:r w:rsidR="0056506E">
        <w:rPr>
          <w:color w:val="000000"/>
        </w:rPr>
        <w:t>:</w:t>
      </w:r>
      <w:r w:rsidRPr="00435BD7">
        <w:rPr>
          <w:color w:val="000000"/>
        </w:rPr>
        <w:t xml:space="preserve"> 61–69. https://doi.org/10.1016/j.cbpa.2013.02.007</w:t>
      </w:r>
    </w:p>
    <w:p w14:paraId="7012A7AD" w14:textId="4CDB6CAB"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Silliman, K. (2019). Population structure, genetic connectivity, and adaptation in the Olympia oyster (</w:t>
      </w:r>
      <w:proofErr w:type="spellStart"/>
      <w:r w:rsidRPr="00435BD7">
        <w:rPr>
          <w:color w:val="000000"/>
        </w:rPr>
        <w:t>Ostrea</w:t>
      </w:r>
      <w:proofErr w:type="spellEnd"/>
      <w:r w:rsidRPr="00435BD7">
        <w:rPr>
          <w:color w:val="000000"/>
        </w:rPr>
        <w:t xml:space="preserve"> </w:t>
      </w:r>
      <w:proofErr w:type="spellStart"/>
      <w:r w:rsidRPr="00435BD7">
        <w:rPr>
          <w:color w:val="000000"/>
        </w:rPr>
        <w:t>lurida</w:t>
      </w:r>
      <w:proofErr w:type="spellEnd"/>
      <w:r w:rsidRPr="00435BD7">
        <w:rPr>
          <w:color w:val="000000"/>
        </w:rPr>
        <w:t xml:space="preserve">) along the west coast of North America. </w:t>
      </w:r>
      <w:r w:rsidRPr="00435BD7">
        <w:rPr>
          <w:i/>
          <w:color w:val="000000"/>
        </w:rPr>
        <w:t>Evolutionary Applications</w:t>
      </w:r>
      <w:r w:rsidRPr="00435BD7">
        <w:rPr>
          <w:color w:val="000000"/>
        </w:rPr>
        <w:t xml:space="preserve">, </w:t>
      </w:r>
      <w:r w:rsidR="0056506E" w:rsidRPr="0056506E">
        <w:rPr>
          <w:b/>
          <w:color w:val="000000"/>
        </w:rPr>
        <w:t>12</w:t>
      </w:r>
      <w:r w:rsidR="0056506E" w:rsidRPr="0056506E">
        <w:rPr>
          <w:color w:val="000000"/>
        </w:rPr>
        <w:t>(5)</w:t>
      </w:r>
      <w:r w:rsidR="0056506E">
        <w:rPr>
          <w:color w:val="000000"/>
        </w:rPr>
        <w:t>:</w:t>
      </w:r>
      <w:r w:rsidRPr="00435BD7">
        <w:rPr>
          <w:color w:val="000000"/>
        </w:rPr>
        <w:t xml:space="preserve"> </w:t>
      </w:r>
      <w:r w:rsidR="0056506E">
        <w:rPr>
          <w:color w:val="000000"/>
        </w:rPr>
        <w:t>923-939</w:t>
      </w:r>
      <w:r w:rsidRPr="00435BD7">
        <w:rPr>
          <w:color w:val="000000"/>
        </w:rPr>
        <w:t>. https://doi.org/10.1111/eva.12766</w:t>
      </w:r>
    </w:p>
    <w:p w14:paraId="16B7955B" w14:textId="1BF4D6A7"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Silliman, K. E., Bowyer, T. K., &amp; Roberts, S. B. (2018). Consistent differences in fitness traits across multiple generations of Olympia oysters. </w:t>
      </w:r>
      <w:r w:rsidRPr="00435BD7">
        <w:rPr>
          <w:i/>
          <w:color w:val="000000"/>
        </w:rPr>
        <w:t>Scientific Reports</w:t>
      </w:r>
      <w:r w:rsidRPr="00435BD7">
        <w:rPr>
          <w:color w:val="000000"/>
        </w:rPr>
        <w:t xml:space="preserve">, </w:t>
      </w:r>
      <w:r w:rsidRPr="00435BD7">
        <w:rPr>
          <w:b/>
          <w:color w:val="000000"/>
        </w:rPr>
        <w:t>8</w:t>
      </w:r>
      <w:r w:rsidRPr="00435BD7">
        <w:rPr>
          <w:color w:val="000000"/>
        </w:rPr>
        <w:t>(1)</w:t>
      </w:r>
      <w:r w:rsidR="0056506E">
        <w:rPr>
          <w:color w:val="000000"/>
        </w:rPr>
        <w:t>:</w:t>
      </w:r>
      <w:r w:rsidRPr="00435BD7">
        <w:rPr>
          <w:color w:val="000000"/>
        </w:rPr>
        <w:t xml:space="preserve"> 6080. https://doi.org/10.1038/s41598-018-24455-3</w:t>
      </w:r>
    </w:p>
    <w:p w14:paraId="680B83E3" w14:textId="559A69EF"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Sokolova</w:t>
      </w:r>
      <w:proofErr w:type="spellEnd"/>
      <w:r w:rsidRPr="00435BD7">
        <w:rPr>
          <w:color w:val="000000"/>
        </w:rPr>
        <w:t xml:space="preserve">, I. M., </w:t>
      </w:r>
      <w:proofErr w:type="spellStart"/>
      <w:r w:rsidRPr="00435BD7">
        <w:rPr>
          <w:color w:val="000000"/>
        </w:rPr>
        <w:t>Frederich</w:t>
      </w:r>
      <w:proofErr w:type="spellEnd"/>
      <w:r w:rsidRPr="00435BD7">
        <w:rPr>
          <w:color w:val="000000"/>
        </w:rPr>
        <w:t xml:space="preserve">, M., </w:t>
      </w:r>
      <w:proofErr w:type="spellStart"/>
      <w:r w:rsidRPr="00435BD7">
        <w:rPr>
          <w:color w:val="000000"/>
        </w:rPr>
        <w:t>Bagwe</w:t>
      </w:r>
      <w:proofErr w:type="spellEnd"/>
      <w:r w:rsidRPr="00435BD7">
        <w:rPr>
          <w:color w:val="000000"/>
        </w:rPr>
        <w:t xml:space="preserve">, R., </w:t>
      </w:r>
      <w:proofErr w:type="spellStart"/>
      <w:r w:rsidRPr="00435BD7">
        <w:rPr>
          <w:color w:val="000000"/>
        </w:rPr>
        <w:t>Lannig</w:t>
      </w:r>
      <w:proofErr w:type="spellEnd"/>
      <w:r w:rsidRPr="00435BD7">
        <w:rPr>
          <w:color w:val="000000"/>
        </w:rPr>
        <w:t xml:space="preserve">, G., &amp; </w:t>
      </w:r>
      <w:proofErr w:type="spellStart"/>
      <w:r w:rsidRPr="00435BD7">
        <w:rPr>
          <w:color w:val="000000"/>
        </w:rPr>
        <w:t>Sukhotin</w:t>
      </w:r>
      <w:proofErr w:type="spellEnd"/>
      <w:r w:rsidRPr="00435BD7">
        <w:rPr>
          <w:color w:val="000000"/>
        </w:rPr>
        <w:t xml:space="preserve">, A. A. (2012). Energy homeostasis as an integrative tool for assessing limits of environmental stress tolerance in aquatic invertebrates. </w:t>
      </w:r>
      <w:r w:rsidRPr="00435BD7">
        <w:rPr>
          <w:i/>
          <w:color w:val="000000"/>
        </w:rPr>
        <w:t>Marine Environmental Research</w:t>
      </w:r>
      <w:r w:rsidRPr="00435BD7">
        <w:rPr>
          <w:color w:val="000000"/>
        </w:rPr>
        <w:t xml:space="preserve">, </w:t>
      </w:r>
      <w:r w:rsidRPr="00435BD7">
        <w:rPr>
          <w:b/>
          <w:color w:val="000000"/>
        </w:rPr>
        <w:t>79</w:t>
      </w:r>
      <w:r w:rsidR="00AD15DF">
        <w:rPr>
          <w:color w:val="000000"/>
        </w:rPr>
        <w:t>:</w:t>
      </w:r>
      <w:r w:rsidRPr="00435BD7">
        <w:rPr>
          <w:color w:val="000000"/>
        </w:rPr>
        <w:t xml:space="preserve"> 1–15. </w:t>
      </w:r>
      <w:r w:rsidRPr="00435BD7">
        <w:rPr>
          <w:color w:val="000000"/>
        </w:rPr>
        <w:lastRenderedPageBreak/>
        <w:t>https://doi.org/10.1016/j.marenvres.2012.04.003</w:t>
      </w:r>
    </w:p>
    <w:p w14:paraId="1CCF7E73" w14:textId="5D49C0FE"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Soubry</w:t>
      </w:r>
      <w:proofErr w:type="spellEnd"/>
      <w:r w:rsidRPr="00435BD7">
        <w:rPr>
          <w:color w:val="000000"/>
        </w:rPr>
        <w:t xml:space="preserve">, A., </w:t>
      </w:r>
      <w:proofErr w:type="spellStart"/>
      <w:r w:rsidRPr="00435BD7">
        <w:rPr>
          <w:color w:val="000000"/>
        </w:rPr>
        <w:t>Hoyo</w:t>
      </w:r>
      <w:proofErr w:type="spellEnd"/>
      <w:r w:rsidRPr="00435BD7">
        <w:rPr>
          <w:color w:val="000000"/>
        </w:rPr>
        <w:t xml:space="preserve">, C., </w:t>
      </w:r>
      <w:proofErr w:type="spellStart"/>
      <w:r w:rsidRPr="00435BD7">
        <w:rPr>
          <w:color w:val="000000"/>
        </w:rPr>
        <w:t>Jirtle</w:t>
      </w:r>
      <w:proofErr w:type="spellEnd"/>
      <w:r w:rsidRPr="00435BD7">
        <w:rPr>
          <w:color w:val="000000"/>
        </w:rPr>
        <w:t xml:space="preserve">, R. L., &amp; Murphy, S. K. (2014). A paternal environmental legacy: evidence for epigenetic inheritance through the male germ line. </w:t>
      </w:r>
      <w:proofErr w:type="spellStart"/>
      <w:r w:rsidRPr="00435BD7">
        <w:rPr>
          <w:i/>
          <w:color w:val="000000"/>
        </w:rPr>
        <w:t>BioEssays</w:t>
      </w:r>
      <w:proofErr w:type="spellEnd"/>
      <w:r w:rsidRPr="00435BD7">
        <w:rPr>
          <w:i/>
          <w:color w:val="000000"/>
        </w:rPr>
        <w:t>: News and Reviews in Molecular, Cellular and Developmental Biology</w:t>
      </w:r>
      <w:r w:rsidRPr="00435BD7">
        <w:rPr>
          <w:color w:val="000000"/>
        </w:rPr>
        <w:t xml:space="preserve">, </w:t>
      </w:r>
      <w:r w:rsidRPr="00435BD7">
        <w:rPr>
          <w:b/>
          <w:color w:val="000000"/>
        </w:rPr>
        <w:t>36</w:t>
      </w:r>
      <w:r w:rsidRPr="00435BD7">
        <w:rPr>
          <w:color w:val="000000"/>
        </w:rPr>
        <w:t>(4)</w:t>
      </w:r>
      <w:r w:rsidR="00AD15DF">
        <w:rPr>
          <w:color w:val="000000"/>
        </w:rPr>
        <w:t>:</w:t>
      </w:r>
      <w:r w:rsidRPr="00435BD7">
        <w:rPr>
          <w:color w:val="000000"/>
        </w:rPr>
        <w:t xml:space="preserve"> 359–371. https://doi.org/10.1002/bies.201300113</w:t>
      </w:r>
    </w:p>
    <w:p w14:paraId="5F32B33A" w14:textId="777A7BE1" w:rsidR="00141326" w:rsidRPr="00435BD7" w:rsidRDefault="00141326" w:rsidP="0010628E">
      <w:pPr>
        <w:widowControl w:val="0"/>
        <w:pBdr>
          <w:top w:val="nil"/>
          <w:left w:val="nil"/>
          <w:bottom w:val="nil"/>
          <w:right w:val="nil"/>
          <w:between w:val="nil"/>
        </w:pBdr>
        <w:spacing w:line="480" w:lineRule="auto"/>
        <w:ind w:left="480" w:hanging="480"/>
        <w:rPr>
          <w:b/>
          <w:i/>
        </w:rPr>
      </w:pPr>
      <w:r w:rsidRPr="00435BD7">
        <w:t xml:space="preserve">Spencer, L. H., Y. R. Venkataraman, R. </w:t>
      </w:r>
      <w:proofErr w:type="spellStart"/>
      <w:r w:rsidRPr="00435BD7">
        <w:t>Crim</w:t>
      </w:r>
      <w:proofErr w:type="spellEnd"/>
      <w:r w:rsidRPr="00435BD7">
        <w:t xml:space="preserve">, S. Ryan, M. J. </w:t>
      </w:r>
      <w:proofErr w:type="spellStart"/>
      <w:r w:rsidRPr="00435BD7">
        <w:t>Horwith</w:t>
      </w:r>
      <w:proofErr w:type="spellEnd"/>
      <w:r w:rsidRPr="00435BD7">
        <w:t xml:space="preserve">, &amp; S. B. Roberts. </w:t>
      </w:r>
      <w:r w:rsidR="0010628E" w:rsidRPr="00435BD7">
        <w:t>Carryover effects of temperature and pCO</w:t>
      </w:r>
      <w:r w:rsidR="0010628E" w:rsidRPr="00435BD7">
        <w:rPr>
          <w:vertAlign w:val="subscript"/>
        </w:rPr>
        <w:t>2</w:t>
      </w:r>
      <w:r w:rsidR="0010628E" w:rsidRPr="00435BD7">
        <w:t xml:space="preserve"> across multiple Olympia oyster populations. GitHub repository.</w:t>
      </w:r>
      <w:r w:rsidR="003C6068" w:rsidRPr="00435BD7">
        <w:t xml:space="preserve"> https://doi.org/10.6084/m9.figshare.8872646.</w:t>
      </w:r>
      <w:r w:rsidRPr="00435BD7">
        <w:t xml:space="preserve"> </w:t>
      </w:r>
    </w:p>
    <w:p w14:paraId="3712B3C7" w14:textId="271945AA"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Sunday, J. M., </w:t>
      </w:r>
      <w:proofErr w:type="spellStart"/>
      <w:r w:rsidRPr="00435BD7">
        <w:rPr>
          <w:color w:val="000000"/>
        </w:rPr>
        <w:t>Calosi</w:t>
      </w:r>
      <w:proofErr w:type="spellEnd"/>
      <w:r w:rsidRPr="00435BD7">
        <w:rPr>
          <w:color w:val="000000"/>
        </w:rPr>
        <w:t xml:space="preserve">, P., Dupont, S., </w:t>
      </w:r>
      <w:proofErr w:type="spellStart"/>
      <w:r w:rsidRPr="00435BD7">
        <w:rPr>
          <w:color w:val="000000"/>
        </w:rPr>
        <w:t>Munday</w:t>
      </w:r>
      <w:proofErr w:type="spellEnd"/>
      <w:r w:rsidRPr="00435BD7">
        <w:rPr>
          <w:color w:val="000000"/>
        </w:rPr>
        <w:t xml:space="preserve">, P. L., </w:t>
      </w:r>
      <w:proofErr w:type="spellStart"/>
      <w:r w:rsidRPr="00435BD7">
        <w:rPr>
          <w:color w:val="000000"/>
        </w:rPr>
        <w:t>Stillman</w:t>
      </w:r>
      <w:proofErr w:type="spellEnd"/>
      <w:r w:rsidRPr="00435BD7">
        <w:rPr>
          <w:color w:val="000000"/>
        </w:rPr>
        <w:t xml:space="preserve">, J. H., &amp; </w:t>
      </w:r>
      <w:proofErr w:type="spellStart"/>
      <w:r w:rsidRPr="00435BD7">
        <w:rPr>
          <w:color w:val="000000"/>
        </w:rPr>
        <w:t>Reusch</w:t>
      </w:r>
      <w:proofErr w:type="spellEnd"/>
      <w:r w:rsidRPr="00435BD7">
        <w:rPr>
          <w:color w:val="000000"/>
        </w:rPr>
        <w:t xml:space="preserve">, T. B. H. (2014). Evolution in an acidifying ocean. </w:t>
      </w:r>
      <w:r w:rsidRPr="00435BD7">
        <w:rPr>
          <w:i/>
          <w:color w:val="000000"/>
        </w:rPr>
        <w:t>Trends in Ecology &amp; Evolution</w:t>
      </w:r>
      <w:r w:rsidRPr="00435BD7">
        <w:rPr>
          <w:color w:val="000000"/>
        </w:rPr>
        <w:t xml:space="preserve">, </w:t>
      </w:r>
      <w:r w:rsidRPr="00435BD7">
        <w:rPr>
          <w:b/>
          <w:color w:val="000000"/>
        </w:rPr>
        <w:t>29</w:t>
      </w:r>
      <w:r w:rsidRPr="00435BD7">
        <w:rPr>
          <w:color w:val="000000"/>
        </w:rPr>
        <w:t>(2)</w:t>
      </w:r>
      <w:r w:rsidR="00AD15DF">
        <w:rPr>
          <w:color w:val="000000"/>
        </w:rPr>
        <w:t>:</w:t>
      </w:r>
      <w:r w:rsidRPr="00435BD7">
        <w:rPr>
          <w:color w:val="000000"/>
        </w:rPr>
        <w:t xml:space="preserve"> 117–125. https://doi.org/10.1016/j.tree.2013.11.001</w:t>
      </w:r>
    </w:p>
    <w:p w14:paraId="6387AEDC" w14:textId="165618C3"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Thompson, E. L., O’Connor, W., Parker, L., Ross, P., &amp; </w:t>
      </w:r>
      <w:proofErr w:type="spellStart"/>
      <w:r w:rsidRPr="00435BD7">
        <w:rPr>
          <w:color w:val="000000"/>
        </w:rPr>
        <w:t>Raftos</w:t>
      </w:r>
      <w:proofErr w:type="spellEnd"/>
      <w:r w:rsidRPr="00435BD7">
        <w:rPr>
          <w:color w:val="000000"/>
        </w:rPr>
        <w:t>, D. A. (2015). Differential proteomic responses of selectively bred and wild-type Sydney rock oyster populations exposed to elevated CO</w:t>
      </w:r>
      <w:r w:rsidRPr="00435BD7">
        <w:rPr>
          <w:color w:val="000000"/>
          <w:vertAlign w:val="subscript"/>
        </w:rPr>
        <w:t>2</w:t>
      </w:r>
      <w:r w:rsidRPr="00435BD7">
        <w:rPr>
          <w:color w:val="000000"/>
        </w:rPr>
        <w:t xml:space="preserve">. </w:t>
      </w:r>
      <w:r w:rsidRPr="00435BD7">
        <w:rPr>
          <w:i/>
          <w:color w:val="000000"/>
        </w:rPr>
        <w:t>Molecular Ecology</w:t>
      </w:r>
      <w:r w:rsidRPr="00435BD7">
        <w:rPr>
          <w:color w:val="000000"/>
        </w:rPr>
        <w:t xml:space="preserve">, </w:t>
      </w:r>
      <w:r w:rsidRPr="00435BD7">
        <w:rPr>
          <w:b/>
          <w:color w:val="000000"/>
        </w:rPr>
        <w:t>24</w:t>
      </w:r>
      <w:r w:rsidRPr="00435BD7">
        <w:rPr>
          <w:color w:val="000000"/>
        </w:rPr>
        <w:t>(6)</w:t>
      </w:r>
      <w:r w:rsidR="00AD15DF">
        <w:rPr>
          <w:color w:val="000000"/>
        </w:rPr>
        <w:t>:</w:t>
      </w:r>
      <w:r w:rsidRPr="00435BD7">
        <w:rPr>
          <w:color w:val="000000"/>
        </w:rPr>
        <w:t xml:space="preserve"> 1248–1262. https://doi.org/10.1111/mec.13111</w:t>
      </w:r>
    </w:p>
    <w:p w14:paraId="674C1865" w14:textId="7FD8B643"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Thomsen, J., Stapp, L. S., </w:t>
      </w:r>
      <w:proofErr w:type="spellStart"/>
      <w:r w:rsidRPr="00435BD7">
        <w:rPr>
          <w:color w:val="000000"/>
        </w:rPr>
        <w:t>Haynert</w:t>
      </w:r>
      <w:proofErr w:type="spellEnd"/>
      <w:r w:rsidRPr="00435BD7">
        <w:rPr>
          <w:color w:val="000000"/>
        </w:rPr>
        <w:t xml:space="preserve">, K., Schade, H., </w:t>
      </w:r>
      <w:proofErr w:type="spellStart"/>
      <w:r w:rsidRPr="00435BD7">
        <w:rPr>
          <w:color w:val="000000"/>
        </w:rPr>
        <w:t>Danelli</w:t>
      </w:r>
      <w:proofErr w:type="spellEnd"/>
      <w:r w:rsidRPr="00435BD7">
        <w:rPr>
          <w:color w:val="000000"/>
        </w:rPr>
        <w:t xml:space="preserve">, M., </w:t>
      </w:r>
      <w:proofErr w:type="spellStart"/>
      <w:r w:rsidRPr="00435BD7">
        <w:rPr>
          <w:color w:val="000000"/>
        </w:rPr>
        <w:t>Lannig</w:t>
      </w:r>
      <w:proofErr w:type="spellEnd"/>
      <w:r w:rsidRPr="00435BD7">
        <w:rPr>
          <w:color w:val="000000"/>
        </w:rPr>
        <w:t xml:space="preserve">, G., </w:t>
      </w:r>
      <w:r w:rsidRPr="00435BD7">
        <w:t xml:space="preserve">Wegner, K. M., &amp; </w:t>
      </w:r>
      <w:proofErr w:type="spellStart"/>
      <w:r w:rsidRPr="00435BD7">
        <w:rPr>
          <w:color w:val="000000"/>
        </w:rPr>
        <w:t>Melzner</w:t>
      </w:r>
      <w:proofErr w:type="spellEnd"/>
      <w:r w:rsidRPr="00435BD7">
        <w:rPr>
          <w:color w:val="000000"/>
        </w:rPr>
        <w:t xml:space="preserve">, F. (2017). Naturally acidified habitat selects for ocean acidification–tolerant mussels. </w:t>
      </w:r>
      <w:r w:rsidRPr="00435BD7">
        <w:rPr>
          <w:i/>
          <w:color w:val="000000"/>
        </w:rPr>
        <w:t>Science Advances</w:t>
      </w:r>
      <w:r w:rsidRPr="00435BD7">
        <w:rPr>
          <w:color w:val="000000"/>
        </w:rPr>
        <w:t xml:space="preserve">, </w:t>
      </w:r>
      <w:r w:rsidRPr="00435BD7">
        <w:rPr>
          <w:b/>
          <w:color w:val="000000"/>
        </w:rPr>
        <w:t>3</w:t>
      </w:r>
      <w:r w:rsidRPr="00435BD7">
        <w:rPr>
          <w:color w:val="000000"/>
        </w:rPr>
        <w:t>(4)</w:t>
      </w:r>
      <w:r w:rsidR="00AD15DF">
        <w:rPr>
          <w:color w:val="000000"/>
        </w:rPr>
        <w:t>:</w:t>
      </w:r>
      <w:r w:rsidRPr="00435BD7">
        <w:rPr>
          <w:color w:val="000000"/>
        </w:rPr>
        <w:t xml:space="preserve"> e1602411. https://doi.org/10.1126/sciadv.1602411</w:t>
      </w:r>
    </w:p>
    <w:p w14:paraId="0866612E" w14:textId="608EC5B9" w:rsidR="005F6CB1" w:rsidRPr="00435BD7" w:rsidRDefault="005F6CB1" w:rsidP="005F6CB1">
      <w:pPr>
        <w:widowControl w:val="0"/>
        <w:pBdr>
          <w:top w:val="nil"/>
          <w:left w:val="nil"/>
          <w:bottom w:val="nil"/>
          <w:right w:val="nil"/>
          <w:between w:val="nil"/>
        </w:pBdr>
        <w:spacing w:line="480" w:lineRule="auto"/>
        <w:ind w:left="480" w:hanging="480"/>
        <w:rPr>
          <w:color w:val="000000"/>
        </w:rPr>
      </w:pPr>
      <w:r w:rsidRPr="00435BD7">
        <w:rPr>
          <w:color w:val="000000"/>
        </w:rPr>
        <w:t xml:space="preserve">Thor, P., &amp; Dupont, S. (2015). Transgenerational effects alleviate severe fecundity loss during ocean acidification in a ubiquitous planktonic copepod. </w:t>
      </w:r>
      <w:r w:rsidRPr="00435BD7">
        <w:rPr>
          <w:i/>
          <w:iCs/>
          <w:color w:val="000000"/>
        </w:rPr>
        <w:t>Global Change Biology</w:t>
      </w:r>
      <w:r w:rsidRPr="00435BD7">
        <w:rPr>
          <w:color w:val="000000"/>
        </w:rPr>
        <w:t xml:space="preserve">, </w:t>
      </w:r>
      <w:r w:rsidRPr="00435BD7">
        <w:rPr>
          <w:b/>
          <w:iCs/>
          <w:color w:val="000000"/>
        </w:rPr>
        <w:t>21</w:t>
      </w:r>
      <w:r w:rsidRPr="00435BD7">
        <w:rPr>
          <w:color w:val="000000"/>
        </w:rPr>
        <w:t>(6), 2261–2271.</w:t>
      </w:r>
    </w:p>
    <w:p w14:paraId="6D50B8CD" w14:textId="473751D9"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Utting</w:t>
      </w:r>
      <w:proofErr w:type="spellEnd"/>
      <w:r w:rsidRPr="00435BD7">
        <w:rPr>
          <w:color w:val="000000"/>
        </w:rPr>
        <w:t xml:space="preserve">, S. D., &amp; </w:t>
      </w:r>
      <w:proofErr w:type="spellStart"/>
      <w:r w:rsidRPr="00435BD7">
        <w:rPr>
          <w:color w:val="000000"/>
        </w:rPr>
        <w:t>Millican</w:t>
      </w:r>
      <w:proofErr w:type="spellEnd"/>
      <w:r w:rsidRPr="00435BD7">
        <w:rPr>
          <w:color w:val="000000"/>
        </w:rPr>
        <w:t xml:space="preserve">, P. F. (1997). Techniques for the hatchery conditioning of bivalve </w:t>
      </w:r>
      <w:proofErr w:type="spellStart"/>
      <w:r w:rsidRPr="00435BD7">
        <w:rPr>
          <w:color w:val="000000"/>
        </w:rPr>
        <w:t>broodstocks</w:t>
      </w:r>
      <w:proofErr w:type="spellEnd"/>
      <w:r w:rsidRPr="00435BD7">
        <w:rPr>
          <w:color w:val="000000"/>
        </w:rPr>
        <w:t xml:space="preserve"> and the subsequent effect on egg quality and larval viability. </w:t>
      </w:r>
      <w:r w:rsidRPr="00435BD7">
        <w:rPr>
          <w:i/>
          <w:color w:val="000000"/>
        </w:rPr>
        <w:t>Aquaculture</w:t>
      </w:r>
      <w:r w:rsidRPr="00435BD7">
        <w:rPr>
          <w:color w:val="000000"/>
        </w:rPr>
        <w:t xml:space="preserve">, </w:t>
      </w:r>
      <w:r w:rsidRPr="00435BD7">
        <w:rPr>
          <w:b/>
          <w:color w:val="000000"/>
        </w:rPr>
        <w:lastRenderedPageBreak/>
        <w:t>155</w:t>
      </w:r>
      <w:r w:rsidRPr="00435BD7">
        <w:rPr>
          <w:color w:val="000000"/>
        </w:rPr>
        <w:t>(1)</w:t>
      </w:r>
      <w:r w:rsidR="00AD15DF">
        <w:rPr>
          <w:color w:val="000000"/>
        </w:rPr>
        <w:t>:</w:t>
      </w:r>
      <w:r w:rsidRPr="00435BD7">
        <w:rPr>
          <w:color w:val="000000"/>
        </w:rPr>
        <w:t xml:space="preserve"> 45–54. https://doi.org/10.1016/S0044-8486(97)00108-7</w:t>
      </w:r>
    </w:p>
    <w:p w14:paraId="4CCE6FB5" w14:textId="06E7752D"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Venkataraman, Y. R., Spencer, L. H., &amp; Roberts, S. B. (</w:t>
      </w:r>
      <w:r w:rsidR="00BD1EBF">
        <w:rPr>
          <w:color w:val="000000"/>
        </w:rPr>
        <w:t>2019</w:t>
      </w:r>
      <w:r w:rsidRPr="00435BD7">
        <w:rPr>
          <w:color w:val="000000"/>
        </w:rPr>
        <w:t>). Adult low pH exposure influences larval abundance in Pacific oysters (</w:t>
      </w:r>
      <w:proofErr w:type="spellStart"/>
      <w:r w:rsidRPr="00435BD7">
        <w:rPr>
          <w:color w:val="000000"/>
        </w:rPr>
        <w:t>Crassostrea</w:t>
      </w:r>
      <w:proofErr w:type="spellEnd"/>
      <w:r w:rsidRPr="00435BD7">
        <w:rPr>
          <w:color w:val="000000"/>
        </w:rPr>
        <w:t xml:space="preserve"> </w:t>
      </w:r>
      <w:proofErr w:type="spellStart"/>
      <w:r w:rsidRPr="00435BD7">
        <w:rPr>
          <w:color w:val="000000"/>
        </w:rPr>
        <w:t>gigas</w:t>
      </w:r>
      <w:proofErr w:type="spellEnd"/>
      <w:r w:rsidRPr="00435BD7">
        <w:rPr>
          <w:color w:val="000000"/>
        </w:rPr>
        <w:t xml:space="preserve">). </w:t>
      </w:r>
      <w:r w:rsidR="00BD1EBF">
        <w:rPr>
          <w:color w:val="000000"/>
        </w:rPr>
        <w:t xml:space="preserve">University of Washington </w:t>
      </w:r>
      <w:proofErr w:type="spellStart"/>
      <w:r w:rsidR="00BD1EBF">
        <w:rPr>
          <w:color w:val="000000"/>
        </w:rPr>
        <w:t>ResearchWorks</w:t>
      </w:r>
      <w:proofErr w:type="spellEnd"/>
      <w:r w:rsidR="00BD1EBF">
        <w:rPr>
          <w:color w:val="000000"/>
        </w:rPr>
        <w:t xml:space="preserve"> Archive, </w:t>
      </w:r>
      <w:r w:rsidRPr="00435BD7">
        <w:t>http://hdl.handle.net/1773/43182</w:t>
      </w:r>
      <w:r w:rsidR="00BD1EBF">
        <w:t xml:space="preserve">. Accepted and in press in </w:t>
      </w:r>
      <w:r w:rsidR="00BD1EBF" w:rsidRPr="00435BD7">
        <w:rPr>
          <w:i/>
          <w:color w:val="000000"/>
        </w:rPr>
        <w:t>Journal of Shellfish Research</w:t>
      </w:r>
      <w:r w:rsidR="00BD1EBF">
        <w:rPr>
          <w:color w:val="000000"/>
        </w:rPr>
        <w:t xml:space="preserve">. </w:t>
      </w:r>
    </w:p>
    <w:p w14:paraId="26A04780" w14:textId="546CB861" w:rsidR="00D64A77" w:rsidRPr="00435BD7" w:rsidRDefault="001554ED" w:rsidP="00C56A3D">
      <w:pPr>
        <w:widowControl w:val="0"/>
        <w:pBdr>
          <w:top w:val="nil"/>
          <w:left w:val="nil"/>
          <w:bottom w:val="nil"/>
          <w:right w:val="nil"/>
          <w:between w:val="nil"/>
        </w:pBdr>
        <w:spacing w:line="480" w:lineRule="auto"/>
        <w:ind w:left="480" w:hanging="480"/>
        <w:rPr>
          <w:color w:val="000000"/>
        </w:rPr>
      </w:pPr>
      <w:proofErr w:type="spellStart"/>
      <w:r w:rsidRPr="00435BD7">
        <w:rPr>
          <w:color w:val="000000"/>
        </w:rPr>
        <w:t>Waldbusser</w:t>
      </w:r>
      <w:proofErr w:type="spellEnd"/>
      <w:r w:rsidRPr="00435BD7">
        <w:rPr>
          <w:color w:val="000000"/>
        </w:rPr>
        <w:t>, G. G., Gray, M. W., Hales, B., Langdon, C. J., Haley, B. A., Gimenez, I.,</w:t>
      </w:r>
      <w:r w:rsidRPr="00435BD7">
        <w:t xml:space="preserve"> Smith, S. R., Brunner, E. L., &amp; </w:t>
      </w:r>
      <w:r w:rsidRPr="00435BD7">
        <w:rPr>
          <w:color w:val="000000"/>
        </w:rPr>
        <w:t xml:space="preserve">Hutchinson, G. (2016). Slow shell building, a possible trait for resistance to the effects of acute ocean acidification. </w:t>
      </w:r>
      <w:r w:rsidRPr="00435BD7">
        <w:rPr>
          <w:i/>
          <w:color w:val="000000"/>
        </w:rPr>
        <w:t>Limnology and Oceanography</w:t>
      </w:r>
      <w:r w:rsidRPr="00435BD7">
        <w:rPr>
          <w:color w:val="000000"/>
        </w:rPr>
        <w:t xml:space="preserve">, </w:t>
      </w:r>
      <w:r w:rsidRPr="00435BD7">
        <w:rPr>
          <w:b/>
          <w:color w:val="000000"/>
        </w:rPr>
        <w:t>61</w:t>
      </w:r>
      <w:r w:rsidRPr="00435BD7">
        <w:rPr>
          <w:color w:val="000000"/>
        </w:rPr>
        <w:t>(6)</w:t>
      </w:r>
      <w:r w:rsidR="00AD15DF">
        <w:rPr>
          <w:color w:val="000000"/>
        </w:rPr>
        <w:t>:</w:t>
      </w:r>
      <w:r w:rsidRPr="00435BD7">
        <w:rPr>
          <w:color w:val="000000"/>
        </w:rPr>
        <w:t xml:space="preserve"> 1969–1983. https://doi.org/10.1002/lno.10348</w:t>
      </w:r>
    </w:p>
    <w:p w14:paraId="4478B6BC" w14:textId="198BA905" w:rsidR="00967B68" w:rsidRPr="00435BD7" w:rsidRDefault="00967B68" w:rsidP="00967B68">
      <w:pPr>
        <w:widowControl w:val="0"/>
        <w:pBdr>
          <w:top w:val="nil"/>
          <w:left w:val="nil"/>
          <w:bottom w:val="nil"/>
          <w:right w:val="nil"/>
          <w:between w:val="nil"/>
        </w:pBdr>
        <w:spacing w:line="480" w:lineRule="auto"/>
        <w:ind w:left="480" w:hanging="480"/>
        <w:rPr>
          <w:color w:val="000000"/>
        </w:rPr>
      </w:pPr>
      <w:r w:rsidRPr="00435BD7">
        <w:rPr>
          <w:color w:val="000000"/>
        </w:rPr>
        <w:t xml:space="preserve">Wasson, K., Hughes, B. B., Berriman, J. S., Chang, A. L., Deck, A. K., </w:t>
      </w:r>
      <w:proofErr w:type="spellStart"/>
      <w:r w:rsidRPr="00435BD7">
        <w:rPr>
          <w:color w:val="000000"/>
        </w:rPr>
        <w:t>Dinnel</w:t>
      </w:r>
      <w:proofErr w:type="spellEnd"/>
      <w:r w:rsidRPr="00435BD7">
        <w:rPr>
          <w:color w:val="000000"/>
        </w:rPr>
        <w:t xml:space="preserve">, P. A., Endris, C., Espinoza, M., </w:t>
      </w:r>
      <w:proofErr w:type="spellStart"/>
      <w:r w:rsidRPr="00435BD7">
        <w:rPr>
          <w:color w:val="000000"/>
        </w:rPr>
        <w:t>Dudas</w:t>
      </w:r>
      <w:proofErr w:type="spellEnd"/>
      <w:r w:rsidRPr="00435BD7">
        <w:rPr>
          <w:color w:val="000000"/>
        </w:rPr>
        <w:t xml:space="preserve">, S., </w:t>
      </w:r>
      <w:proofErr w:type="spellStart"/>
      <w:r w:rsidRPr="00435BD7">
        <w:rPr>
          <w:color w:val="000000"/>
        </w:rPr>
        <w:t>Ferner</w:t>
      </w:r>
      <w:proofErr w:type="spellEnd"/>
      <w:r w:rsidRPr="00435BD7">
        <w:rPr>
          <w:color w:val="000000"/>
        </w:rPr>
        <w:t xml:space="preserve">, M. C., </w:t>
      </w:r>
      <w:proofErr w:type="spellStart"/>
      <w:r w:rsidRPr="00435BD7">
        <w:rPr>
          <w:color w:val="000000"/>
        </w:rPr>
        <w:t>Grosholz</w:t>
      </w:r>
      <w:proofErr w:type="spellEnd"/>
      <w:r w:rsidRPr="00435BD7">
        <w:rPr>
          <w:color w:val="000000"/>
        </w:rPr>
        <w:t xml:space="preserve">, E. D., Kimbro, D., </w:t>
      </w:r>
      <w:proofErr w:type="spellStart"/>
      <w:r w:rsidRPr="00435BD7">
        <w:rPr>
          <w:color w:val="000000"/>
        </w:rPr>
        <w:t>Ruesink</w:t>
      </w:r>
      <w:proofErr w:type="spellEnd"/>
      <w:r w:rsidRPr="00435BD7">
        <w:rPr>
          <w:color w:val="000000"/>
        </w:rPr>
        <w:t xml:space="preserve">, J. L., Trimble, A. C., Vander Schaaf, D., </w:t>
      </w:r>
      <w:proofErr w:type="spellStart"/>
      <w:r w:rsidRPr="00435BD7">
        <w:rPr>
          <w:color w:val="000000"/>
        </w:rPr>
        <w:t>Zabin</w:t>
      </w:r>
      <w:proofErr w:type="spellEnd"/>
      <w:r w:rsidRPr="00435BD7">
        <w:rPr>
          <w:color w:val="000000"/>
        </w:rPr>
        <w:t xml:space="preserve">, C. J., &amp; </w:t>
      </w:r>
      <w:proofErr w:type="spellStart"/>
      <w:r w:rsidRPr="00435BD7">
        <w:rPr>
          <w:color w:val="000000"/>
        </w:rPr>
        <w:t>Zacherl</w:t>
      </w:r>
      <w:proofErr w:type="spellEnd"/>
      <w:r w:rsidRPr="00435BD7">
        <w:rPr>
          <w:color w:val="000000"/>
        </w:rPr>
        <w:t xml:space="preserve">, D. C. (2016). Coast-Wide Recruitment Dynamics of Olympia Oysters Reveal Limited Synchrony and Multiple Predictors of Failure. </w:t>
      </w:r>
      <w:r w:rsidRPr="00435BD7">
        <w:rPr>
          <w:i/>
          <w:iCs/>
          <w:color w:val="000000"/>
        </w:rPr>
        <w:t>Ecology</w:t>
      </w:r>
      <w:r w:rsidRPr="00435BD7">
        <w:rPr>
          <w:color w:val="000000"/>
        </w:rPr>
        <w:t xml:space="preserve"> </w:t>
      </w:r>
      <w:r w:rsidRPr="00435BD7">
        <w:rPr>
          <w:b/>
          <w:color w:val="000000"/>
        </w:rPr>
        <w:t>97</w:t>
      </w:r>
      <w:r w:rsidRPr="00435BD7">
        <w:rPr>
          <w:color w:val="000000"/>
        </w:rPr>
        <w:t>(12): 3503–16. https://doi.org/10.1002/ecy.1602</w:t>
      </w:r>
    </w:p>
    <w:p w14:paraId="6DE3BDAF" w14:textId="7ED5CE5C"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White, S. J., </w:t>
      </w:r>
      <w:proofErr w:type="spellStart"/>
      <w:r w:rsidRPr="00435BD7">
        <w:rPr>
          <w:color w:val="000000"/>
        </w:rPr>
        <w:t>Vadopalas</w:t>
      </w:r>
      <w:proofErr w:type="spellEnd"/>
      <w:r w:rsidRPr="00435BD7">
        <w:rPr>
          <w:color w:val="000000"/>
        </w:rPr>
        <w:t xml:space="preserve">, B., Silliman, K., &amp; Roberts, S. B. (2017). </w:t>
      </w:r>
      <w:proofErr w:type="spellStart"/>
      <w:r w:rsidRPr="00435BD7">
        <w:rPr>
          <w:color w:val="000000"/>
        </w:rPr>
        <w:t>Genotoype</w:t>
      </w:r>
      <w:proofErr w:type="spellEnd"/>
      <w:r w:rsidRPr="00435BD7">
        <w:rPr>
          <w:color w:val="000000"/>
        </w:rPr>
        <w:t xml:space="preserve">-by-sequencing of three geographically distinct populations of Olympia oysters, </w:t>
      </w:r>
      <w:proofErr w:type="spellStart"/>
      <w:r w:rsidRPr="00435BD7">
        <w:rPr>
          <w:color w:val="000000"/>
        </w:rPr>
        <w:t>Ostrea</w:t>
      </w:r>
      <w:proofErr w:type="spellEnd"/>
      <w:r w:rsidRPr="00435BD7">
        <w:rPr>
          <w:color w:val="000000"/>
        </w:rPr>
        <w:t xml:space="preserve"> </w:t>
      </w:r>
      <w:proofErr w:type="spellStart"/>
      <w:r w:rsidRPr="00435BD7">
        <w:rPr>
          <w:color w:val="000000"/>
        </w:rPr>
        <w:t>lurida</w:t>
      </w:r>
      <w:proofErr w:type="spellEnd"/>
      <w:r w:rsidRPr="00435BD7">
        <w:rPr>
          <w:color w:val="000000"/>
        </w:rPr>
        <w:t xml:space="preserve">. </w:t>
      </w:r>
      <w:r w:rsidRPr="00435BD7">
        <w:rPr>
          <w:i/>
          <w:color w:val="000000"/>
        </w:rPr>
        <w:t>Scientific Data</w:t>
      </w:r>
      <w:r w:rsidRPr="00435BD7">
        <w:rPr>
          <w:color w:val="000000"/>
        </w:rPr>
        <w:t xml:space="preserve">, </w:t>
      </w:r>
      <w:r w:rsidRPr="00435BD7">
        <w:rPr>
          <w:b/>
          <w:color w:val="000000"/>
        </w:rPr>
        <w:t>4</w:t>
      </w:r>
      <w:r w:rsidR="00AD15DF">
        <w:rPr>
          <w:color w:val="000000"/>
        </w:rPr>
        <w:t>:</w:t>
      </w:r>
      <w:r w:rsidRPr="00435BD7">
        <w:rPr>
          <w:color w:val="000000"/>
        </w:rPr>
        <w:t xml:space="preserve"> 170130. https://doi.org/10.1038/sdata.2017.130</w:t>
      </w:r>
    </w:p>
    <w:p w14:paraId="54F0C7A7" w14:textId="028A49D3" w:rsidR="00D64A77" w:rsidRPr="00435BD7" w:rsidRDefault="001554ED" w:rsidP="00C56A3D">
      <w:pPr>
        <w:widowControl w:val="0"/>
        <w:pBdr>
          <w:top w:val="nil"/>
          <w:left w:val="nil"/>
          <w:bottom w:val="nil"/>
          <w:right w:val="nil"/>
          <w:between w:val="nil"/>
        </w:pBdr>
        <w:spacing w:line="480" w:lineRule="auto"/>
        <w:ind w:left="480" w:hanging="480"/>
        <w:rPr>
          <w:color w:val="000000"/>
        </w:rPr>
      </w:pPr>
      <w:r w:rsidRPr="00435BD7">
        <w:rPr>
          <w:color w:val="000000"/>
        </w:rPr>
        <w:t xml:space="preserve">Wickham, H. (2017). ggplot2 - Elegant Graphics for Data Analysis (2nd Edition). </w:t>
      </w:r>
      <w:r w:rsidRPr="00435BD7">
        <w:rPr>
          <w:i/>
          <w:color w:val="000000"/>
        </w:rPr>
        <w:t>Journal of Statistical Software, Book Reviews</w:t>
      </w:r>
      <w:r w:rsidRPr="00435BD7">
        <w:rPr>
          <w:color w:val="000000"/>
        </w:rPr>
        <w:t xml:space="preserve">, </w:t>
      </w:r>
      <w:r w:rsidRPr="00435BD7">
        <w:rPr>
          <w:b/>
          <w:color w:val="000000"/>
        </w:rPr>
        <w:t>77</w:t>
      </w:r>
      <w:r w:rsidRPr="00435BD7">
        <w:rPr>
          <w:color w:val="000000"/>
        </w:rPr>
        <w:t>(2)</w:t>
      </w:r>
      <w:r w:rsidR="00AD15DF">
        <w:rPr>
          <w:color w:val="000000"/>
        </w:rPr>
        <w:t>:</w:t>
      </w:r>
      <w:r w:rsidRPr="00435BD7">
        <w:rPr>
          <w:color w:val="000000"/>
        </w:rPr>
        <w:t xml:space="preserve"> 1–3. https://doi.org/10.18637/jss.v077.b02</w:t>
      </w:r>
    </w:p>
    <w:p w14:paraId="79E4E389" w14:textId="71213672" w:rsidR="00620AFD" w:rsidRPr="00435BD7" w:rsidRDefault="001554ED" w:rsidP="00DD70A1">
      <w:pPr>
        <w:widowControl w:val="0"/>
        <w:pBdr>
          <w:top w:val="nil"/>
          <w:left w:val="nil"/>
          <w:bottom w:val="nil"/>
          <w:right w:val="nil"/>
          <w:between w:val="nil"/>
        </w:pBdr>
        <w:spacing w:after="240" w:line="480" w:lineRule="auto"/>
        <w:ind w:left="480" w:hanging="480"/>
        <w:rPr>
          <w:color w:val="000000"/>
        </w:rPr>
      </w:pPr>
      <w:r w:rsidRPr="00435BD7">
        <w:rPr>
          <w:color w:val="000000"/>
        </w:rPr>
        <w:t xml:space="preserve">Wilson, J. A., Chaparro, O. R., &amp; Thompson, R. J. (1996). The importance of </w:t>
      </w:r>
      <w:proofErr w:type="spellStart"/>
      <w:r w:rsidRPr="00435BD7">
        <w:rPr>
          <w:color w:val="000000"/>
        </w:rPr>
        <w:t>broodstock</w:t>
      </w:r>
      <w:proofErr w:type="spellEnd"/>
      <w:r w:rsidRPr="00435BD7">
        <w:rPr>
          <w:color w:val="000000"/>
        </w:rPr>
        <w:t xml:space="preserve"> nutrition on the viability of larvae and spat in the Chilean oyster </w:t>
      </w:r>
      <w:proofErr w:type="spellStart"/>
      <w:r w:rsidRPr="00435BD7">
        <w:rPr>
          <w:color w:val="000000"/>
        </w:rPr>
        <w:t>Ostrea</w:t>
      </w:r>
      <w:proofErr w:type="spellEnd"/>
      <w:r w:rsidRPr="00435BD7">
        <w:rPr>
          <w:color w:val="000000"/>
        </w:rPr>
        <w:t xml:space="preserve"> chilensis. </w:t>
      </w:r>
      <w:r w:rsidRPr="00435BD7">
        <w:rPr>
          <w:i/>
          <w:color w:val="000000"/>
        </w:rPr>
        <w:t>Aquaculture</w:t>
      </w:r>
      <w:r w:rsidRPr="00435BD7">
        <w:rPr>
          <w:color w:val="000000"/>
        </w:rPr>
        <w:t xml:space="preserve">, </w:t>
      </w:r>
      <w:r w:rsidRPr="00435BD7">
        <w:rPr>
          <w:b/>
          <w:color w:val="000000"/>
        </w:rPr>
        <w:t>139</w:t>
      </w:r>
      <w:r w:rsidRPr="00435BD7">
        <w:rPr>
          <w:color w:val="000000"/>
        </w:rPr>
        <w:t>(1)</w:t>
      </w:r>
      <w:r w:rsidR="00AD15DF">
        <w:rPr>
          <w:color w:val="000000"/>
        </w:rPr>
        <w:t>:</w:t>
      </w:r>
      <w:r w:rsidRPr="00435BD7">
        <w:rPr>
          <w:color w:val="000000"/>
        </w:rPr>
        <w:t xml:space="preserve"> 63–75. https://doi.org/10.1016/0044-8486(95)01159-5</w:t>
      </w:r>
    </w:p>
    <w:p w14:paraId="48C55854" w14:textId="4D9F5E92" w:rsidR="002B18E0" w:rsidRPr="00DD70A1" w:rsidRDefault="00620AFD" w:rsidP="00620AFD">
      <w:pPr>
        <w:suppressLineNumbers/>
        <w:spacing w:line="276" w:lineRule="auto"/>
        <w:rPr>
          <w:color w:val="000000"/>
        </w:rPr>
      </w:pPr>
      <w:r w:rsidRPr="00435BD7">
        <w:rPr>
          <w:color w:val="000000"/>
        </w:rPr>
        <w:br w:type="page"/>
      </w:r>
    </w:p>
    <w:tbl>
      <w:tblPr>
        <w:tblStyle w:val="a"/>
        <w:tblW w:w="8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87"/>
        <w:gridCol w:w="1427"/>
        <w:gridCol w:w="1428"/>
        <w:gridCol w:w="1612"/>
        <w:gridCol w:w="1460"/>
      </w:tblGrid>
      <w:tr w:rsidR="002B18E0" w14:paraId="44502719" w14:textId="77777777" w:rsidTr="00457E21">
        <w:trPr>
          <w:trHeight w:val="328"/>
        </w:trPr>
        <w:tc>
          <w:tcPr>
            <w:tcW w:w="8114" w:type="dxa"/>
            <w:gridSpan w:val="5"/>
            <w:shd w:val="clear" w:color="auto" w:fill="auto"/>
          </w:tcPr>
          <w:p w14:paraId="62647E5A" w14:textId="164A6E09" w:rsidR="002B18E0" w:rsidRDefault="002B18E0" w:rsidP="00457E21">
            <w:pPr>
              <w:widowControl w:val="0"/>
              <w:spacing w:line="480" w:lineRule="auto"/>
            </w:pPr>
            <w:r>
              <w:rPr>
                <w:b/>
              </w:rPr>
              <w:lastRenderedPageBreak/>
              <w:t>Table 1:</w:t>
            </w:r>
            <w:r>
              <w:t xml:space="preserve"> </w:t>
            </w:r>
            <w:r w:rsidRPr="00960525">
              <w:rPr>
                <w:b/>
              </w:rPr>
              <w:t>Environmental data</w:t>
            </w:r>
            <w:r w:rsidR="00960525" w:rsidRPr="00960525">
              <w:rPr>
                <w:b/>
              </w:rPr>
              <w:t xml:space="preserve"> during offspring field trial</w:t>
            </w:r>
            <w:r w:rsidR="00960525">
              <w:t xml:space="preserve">. Environmental data was collected </w:t>
            </w:r>
            <w:r>
              <w:t>from locations where offspring were deployed for 3 months</w:t>
            </w:r>
            <w:r w:rsidR="00F51E92">
              <w:t xml:space="preserve"> from June through August 2018</w:t>
            </w:r>
            <w:r>
              <w:t xml:space="preserve">. </w:t>
            </w:r>
            <w:proofErr w:type="spellStart"/>
            <w:r>
              <w:t>Mean±SD</w:t>
            </w:r>
            <w:proofErr w:type="spellEnd"/>
            <w:r>
              <w:t xml:space="preserve"> of continuously monitored environmental data are shown for periods of tidal submergence only (tidal height &gt;0.3m), collected at two deployment locations within each bay.  </w:t>
            </w:r>
          </w:p>
        </w:tc>
      </w:tr>
      <w:tr w:rsidR="002B18E0" w14:paraId="3A75E9BF" w14:textId="77777777" w:rsidTr="00457E21">
        <w:trPr>
          <w:trHeight w:val="298"/>
        </w:trPr>
        <w:tc>
          <w:tcPr>
            <w:tcW w:w="2187" w:type="dxa"/>
            <w:shd w:val="clear" w:color="auto" w:fill="auto"/>
            <w:tcMar>
              <w:top w:w="100" w:type="dxa"/>
              <w:left w:w="100" w:type="dxa"/>
              <w:bottom w:w="100" w:type="dxa"/>
              <w:right w:w="100" w:type="dxa"/>
            </w:tcMar>
          </w:tcPr>
          <w:p w14:paraId="51F8D335" w14:textId="77777777" w:rsidR="002B18E0" w:rsidRDefault="002B18E0" w:rsidP="001F5BDB">
            <w:pPr>
              <w:widowControl w:val="0"/>
              <w:rPr>
                <w:b/>
              </w:rPr>
            </w:pPr>
          </w:p>
          <w:p w14:paraId="51CB6C06" w14:textId="77777777" w:rsidR="002B18E0" w:rsidRDefault="002B18E0" w:rsidP="001F5BDB">
            <w:pPr>
              <w:widowControl w:val="0"/>
              <w:jc w:val="center"/>
              <w:rPr>
                <w:b/>
              </w:rPr>
            </w:pPr>
          </w:p>
        </w:tc>
        <w:tc>
          <w:tcPr>
            <w:tcW w:w="1427" w:type="dxa"/>
            <w:shd w:val="clear" w:color="auto" w:fill="auto"/>
          </w:tcPr>
          <w:p w14:paraId="03FBFEDF" w14:textId="77777777" w:rsidR="002B18E0" w:rsidRDefault="002B18E0" w:rsidP="001F5BDB">
            <w:pPr>
              <w:widowControl w:val="0"/>
              <w:jc w:val="center"/>
              <w:rPr>
                <w:b/>
              </w:rPr>
            </w:pPr>
            <w:proofErr w:type="spellStart"/>
            <w:r>
              <w:rPr>
                <w:b/>
              </w:rPr>
              <w:t>Fidalgo</w:t>
            </w:r>
            <w:proofErr w:type="spellEnd"/>
            <w:r>
              <w:rPr>
                <w:b/>
              </w:rPr>
              <w:t xml:space="preserve"> Bay</w:t>
            </w:r>
          </w:p>
        </w:tc>
        <w:tc>
          <w:tcPr>
            <w:tcW w:w="1428" w:type="dxa"/>
            <w:shd w:val="clear" w:color="auto" w:fill="auto"/>
          </w:tcPr>
          <w:p w14:paraId="756D5892" w14:textId="77777777" w:rsidR="002B18E0" w:rsidRDefault="002B18E0" w:rsidP="001F5BDB">
            <w:pPr>
              <w:widowControl w:val="0"/>
              <w:jc w:val="center"/>
              <w:rPr>
                <w:b/>
              </w:rPr>
            </w:pPr>
            <w:r>
              <w:rPr>
                <w:b/>
              </w:rPr>
              <w:t>Port Gamble Bay</w:t>
            </w:r>
          </w:p>
        </w:tc>
        <w:tc>
          <w:tcPr>
            <w:tcW w:w="1612" w:type="dxa"/>
            <w:shd w:val="clear" w:color="auto" w:fill="auto"/>
          </w:tcPr>
          <w:p w14:paraId="7EEBD5A4" w14:textId="77777777" w:rsidR="002B18E0" w:rsidRDefault="002B18E0" w:rsidP="001F5BDB">
            <w:pPr>
              <w:widowControl w:val="0"/>
              <w:jc w:val="center"/>
              <w:rPr>
                <w:b/>
              </w:rPr>
            </w:pPr>
            <w:r>
              <w:rPr>
                <w:b/>
              </w:rPr>
              <w:t xml:space="preserve">Skokomish River Delta </w:t>
            </w:r>
          </w:p>
        </w:tc>
        <w:tc>
          <w:tcPr>
            <w:tcW w:w="1458" w:type="dxa"/>
            <w:shd w:val="clear" w:color="auto" w:fill="auto"/>
          </w:tcPr>
          <w:p w14:paraId="386FF77B" w14:textId="77777777" w:rsidR="002B18E0" w:rsidRDefault="002B18E0" w:rsidP="001F5BDB">
            <w:pPr>
              <w:widowControl w:val="0"/>
              <w:jc w:val="center"/>
              <w:rPr>
                <w:b/>
              </w:rPr>
            </w:pPr>
            <w:r>
              <w:rPr>
                <w:b/>
              </w:rPr>
              <w:t xml:space="preserve">Case Inlet </w:t>
            </w:r>
          </w:p>
        </w:tc>
      </w:tr>
      <w:tr w:rsidR="002B18E0" w14:paraId="7CF4EB11" w14:textId="77777777" w:rsidTr="00457E21">
        <w:trPr>
          <w:trHeight w:val="283"/>
        </w:trPr>
        <w:tc>
          <w:tcPr>
            <w:tcW w:w="2187" w:type="dxa"/>
            <w:shd w:val="clear" w:color="auto" w:fill="auto"/>
            <w:tcMar>
              <w:top w:w="100" w:type="dxa"/>
              <w:left w:w="100" w:type="dxa"/>
              <w:bottom w:w="100" w:type="dxa"/>
              <w:right w:w="100" w:type="dxa"/>
            </w:tcMar>
          </w:tcPr>
          <w:p w14:paraId="589529D7" w14:textId="77777777" w:rsidR="002B18E0" w:rsidRDefault="002B18E0" w:rsidP="001F5BDB">
            <w:pPr>
              <w:widowControl w:val="0"/>
              <w:jc w:val="center"/>
              <w:rPr>
                <w:b/>
              </w:rPr>
            </w:pPr>
            <w:r>
              <w:rPr>
                <w:b/>
              </w:rPr>
              <w:t>Temperature (°C)</w:t>
            </w:r>
          </w:p>
        </w:tc>
        <w:tc>
          <w:tcPr>
            <w:tcW w:w="1427" w:type="dxa"/>
            <w:shd w:val="clear" w:color="auto" w:fill="auto"/>
            <w:tcMar>
              <w:top w:w="100" w:type="dxa"/>
              <w:left w:w="100" w:type="dxa"/>
              <w:bottom w:w="100" w:type="dxa"/>
              <w:right w:w="100" w:type="dxa"/>
            </w:tcMar>
          </w:tcPr>
          <w:p w14:paraId="6D72F4B2" w14:textId="77777777" w:rsidR="002B18E0" w:rsidRDefault="002B18E0" w:rsidP="001F5BDB">
            <w:pPr>
              <w:widowControl w:val="0"/>
              <w:jc w:val="center"/>
            </w:pPr>
            <w:r>
              <w:t>15.4±1.5</w:t>
            </w:r>
          </w:p>
        </w:tc>
        <w:tc>
          <w:tcPr>
            <w:tcW w:w="1428" w:type="dxa"/>
            <w:shd w:val="clear" w:color="auto" w:fill="auto"/>
            <w:tcMar>
              <w:top w:w="100" w:type="dxa"/>
              <w:left w:w="100" w:type="dxa"/>
              <w:bottom w:w="100" w:type="dxa"/>
              <w:right w:w="100" w:type="dxa"/>
            </w:tcMar>
          </w:tcPr>
          <w:p w14:paraId="6E223777" w14:textId="77777777" w:rsidR="002B18E0" w:rsidRDefault="002B18E0" w:rsidP="001F5BDB">
            <w:pPr>
              <w:widowControl w:val="0"/>
              <w:jc w:val="center"/>
            </w:pPr>
            <w:r>
              <w:t>15.0±1.0</w:t>
            </w:r>
          </w:p>
        </w:tc>
        <w:tc>
          <w:tcPr>
            <w:tcW w:w="1612" w:type="dxa"/>
            <w:shd w:val="clear" w:color="auto" w:fill="auto"/>
            <w:tcMar>
              <w:top w:w="100" w:type="dxa"/>
              <w:left w:w="100" w:type="dxa"/>
              <w:bottom w:w="100" w:type="dxa"/>
              <w:right w:w="100" w:type="dxa"/>
            </w:tcMar>
          </w:tcPr>
          <w:p w14:paraId="31B6B22A" w14:textId="77777777" w:rsidR="002B18E0" w:rsidRDefault="002B18E0" w:rsidP="001F5BDB">
            <w:pPr>
              <w:widowControl w:val="0"/>
              <w:jc w:val="center"/>
            </w:pPr>
            <w:r>
              <w:t>16.2±2.7</w:t>
            </w:r>
          </w:p>
        </w:tc>
        <w:tc>
          <w:tcPr>
            <w:tcW w:w="1458" w:type="dxa"/>
            <w:shd w:val="clear" w:color="auto" w:fill="auto"/>
            <w:tcMar>
              <w:top w:w="100" w:type="dxa"/>
              <w:left w:w="100" w:type="dxa"/>
              <w:bottom w:w="100" w:type="dxa"/>
              <w:right w:w="100" w:type="dxa"/>
            </w:tcMar>
          </w:tcPr>
          <w:p w14:paraId="48DDB852" w14:textId="77777777" w:rsidR="002B18E0" w:rsidRDefault="002B18E0" w:rsidP="001F5BDB">
            <w:pPr>
              <w:widowControl w:val="0"/>
              <w:jc w:val="center"/>
            </w:pPr>
            <w:r>
              <w:t>16.8±1.7</w:t>
            </w:r>
          </w:p>
        </w:tc>
      </w:tr>
      <w:tr w:rsidR="002B18E0" w14:paraId="388E6034" w14:textId="77777777" w:rsidTr="00457E21">
        <w:trPr>
          <w:trHeight w:val="283"/>
        </w:trPr>
        <w:tc>
          <w:tcPr>
            <w:tcW w:w="2187" w:type="dxa"/>
            <w:shd w:val="clear" w:color="auto" w:fill="auto"/>
            <w:tcMar>
              <w:top w:w="100" w:type="dxa"/>
              <w:left w:w="100" w:type="dxa"/>
              <w:bottom w:w="100" w:type="dxa"/>
              <w:right w:w="100" w:type="dxa"/>
            </w:tcMar>
          </w:tcPr>
          <w:p w14:paraId="5AEADDBD" w14:textId="77777777" w:rsidR="002B18E0" w:rsidRDefault="002B18E0" w:rsidP="001F5BDB">
            <w:pPr>
              <w:widowControl w:val="0"/>
              <w:jc w:val="center"/>
              <w:rPr>
                <w:b/>
              </w:rPr>
            </w:pPr>
            <w:r>
              <w:rPr>
                <w:b/>
              </w:rPr>
              <w:t>DO (mg/L)</w:t>
            </w:r>
          </w:p>
        </w:tc>
        <w:tc>
          <w:tcPr>
            <w:tcW w:w="1427" w:type="dxa"/>
            <w:shd w:val="clear" w:color="auto" w:fill="auto"/>
            <w:tcMar>
              <w:top w:w="100" w:type="dxa"/>
              <w:left w:w="100" w:type="dxa"/>
              <w:bottom w:w="100" w:type="dxa"/>
              <w:right w:w="100" w:type="dxa"/>
            </w:tcMar>
          </w:tcPr>
          <w:p w14:paraId="7F499185" w14:textId="77777777" w:rsidR="002B18E0" w:rsidRDefault="002B18E0" w:rsidP="001F5BDB">
            <w:pPr>
              <w:widowControl w:val="0"/>
              <w:jc w:val="center"/>
            </w:pPr>
            <w:r>
              <w:t>10.6±2.4</w:t>
            </w:r>
          </w:p>
        </w:tc>
        <w:tc>
          <w:tcPr>
            <w:tcW w:w="1428" w:type="dxa"/>
            <w:shd w:val="clear" w:color="auto" w:fill="auto"/>
            <w:tcMar>
              <w:top w:w="100" w:type="dxa"/>
              <w:left w:w="100" w:type="dxa"/>
              <w:bottom w:w="100" w:type="dxa"/>
              <w:right w:w="100" w:type="dxa"/>
            </w:tcMar>
          </w:tcPr>
          <w:p w14:paraId="446090CE" w14:textId="77777777" w:rsidR="002B18E0" w:rsidRDefault="002B18E0" w:rsidP="001F5BDB">
            <w:pPr>
              <w:widowControl w:val="0"/>
              <w:jc w:val="center"/>
            </w:pPr>
            <w:r>
              <w:t>10.5±1.9</w:t>
            </w:r>
          </w:p>
        </w:tc>
        <w:tc>
          <w:tcPr>
            <w:tcW w:w="1612" w:type="dxa"/>
            <w:shd w:val="clear" w:color="auto" w:fill="auto"/>
            <w:tcMar>
              <w:top w:w="100" w:type="dxa"/>
              <w:left w:w="100" w:type="dxa"/>
              <w:bottom w:w="100" w:type="dxa"/>
              <w:right w:w="100" w:type="dxa"/>
            </w:tcMar>
          </w:tcPr>
          <w:p w14:paraId="47A0017B" w14:textId="77777777" w:rsidR="002B18E0" w:rsidRDefault="002B18E0" w:rsidP="001F5BDB">
            <w:pPr>
              <w:widowControl w:val="0"/>
              <w:jc w:val="center"/>
            </w:pPr>
            <w:r>
              <w:t>10.2±3.9</w:t>
            </w:r>
          </w:p>
        </w:tc>
        <w:tc>
          <w:tcPr>
            <w:tcW w:w="1458" w:type="dxa"/>
            <w:shd w:val="clear" w:color="auto" w:fill="auto"/>
            <w:tcMar>
              <w:top w:w="100" w:type="dxa"/>
              <w:left w:w="100" w:type="dxa"/>
              <w:bottom w:w="100" w:type="dxa"/>
              <w:right w:w="100" w:type="dxa"/>
            </w:tcMar>
          </w:tcPr>
          <w:p w14:paraId="6065B2EF" w14:textId="77777777" w:rsidR="002B18E0" w:rsidRDefault="002B18E0" w:rsidP="001F5BDB">
            <w:pPr>
              <w:widowControl w:val="0"/>
              <w:jc w:val="center"/>
            </w:pPr>
            <w:r>
              <w:t>11.2±2.8</w:t>
            </w:r>
          </w:p>
        </w:tc>
      </w:tr>
      <w:tr w:rsidR="002B18E0" w14:paraId="555104A2" w14:textId="77777777" w:rsidTr="00457E21">
        <w:trPr>
          <w:trHeight w:val="283"/>
        </w:trPr>
        <w:tc>
          <w:tcPr>
            <w:tcW w:w="2187" w:type="dxa"/>
            <w:shd w:val="clear" w:color="auto" w:fill="auto"/>
            <w:tcMar>
              <w:top w:w="100" w:type="dxa"/>
              <w:left w:w="100" w:type="dxa"/>
              <w:bottom w:w="100" w:type="dxa"/>
              <w:right w:w="100" w:type="dxa"/>
            </w:tcMar>
          </w:tcPr>
          <w:p w14:paraId="490D7B83" w14:textId="77777777" w:rsidR="002B18E0" w:rsidRDefault="002B18E0" w:rsidP="001F5BDB">
            <w:pPr>
              <w:widowControl w:val="0"/>
              <w:jc w:val="center"/>
              <w:rPr>
                <w:b/>
              </w:rPr>
            </w:pPr>
            <w:r>
              <w:rPr>
                <w:b/>
              </w:rPr>
              <w:t>Salinity (PSU)</w:t>
            </w:r>
          </w:p>
        </w:tc>
        <w:tc>
          <w:tcPr>
            <w:tcW w:w="1427" w:type="dxa"/>
            <w:shd w:val="clear" w:color="auto" w:fill="auto"/>
            <w:tcMar>
              <w:top w:w="100" w:type="dxa"/>
              <w:left w:w="100" w:type="dxa"/>
              <w:bottom w:w="100" w:type="dxa"/>
              <w:right w:w="100" w:type="dxa"/>
            </w:tcMar>
          </w:tcPr>
          <w:p w14:paraId="25483B84" w14:textId="77777777" w:rsidR="002B18E0" w:rsidRDefault="002B18E0" w:rsidP="001F5BDB">
            <w:pPr>
              <w:widowControl w:val="0"/>
              <w:jc w:val="center"/>
            </w:pPr>
            <w:r>
              <w:t>28.5±3.9</w:t>
            </w:r>
          </w:p>
        </w:tc>
        <w:tc>
          <w:tcPr>
            <w:tcW w:w="1428" w:type="dxa"/>
            <w:shd w:val="clear" w:color="auto" w:fill="auto"/>
            <w:tcMar>
              <w:top w:w="100" w:type="dxa"/>
              <w:left w:w="100" w:type="dxa"/>
              <w:bottom w:w="100" w:type="dxa"/>
              <w:right w:w="100" w:type="dxa"/>
            </w:tcMar>
          </w:tcPr>
          <w:p w14:paraId="5F1FF225" w14:textId="77777777" w:rsidR="002B18E0" w:rsidRDefault="002B18E0" w:rsidP="001F5BDB">
            <w:pPr>
              <w:widowControl w:val="0"/>
              <w:jc w:val="center"/>
            </w:pPr>
            <w:r>
              <w:t>31.9±2.0</w:t>
            </w:r>
          </w:p>
        </w:tc>
        <w:tc>
          <w:tcPr>
            <w:tcW w:w="1612" w:type="dxa"/>
            <w:shd w:val="clear" w:color="auto" w:fill="auto"/>
            <w:tcMar>
              <w:top w:w="100" w:type="dxa"/>
              <w:left w:w="100" w:type="dxa"/>
              <w:bottom w:w="100" w:type="dxa"/>
              <w:right w:w="100" w:type="dxa"/>
            </w:tcMar>
          </w:tcPr>
          <w:p w14:paraId="6799624F" w14:textId="77777777" w:rsidR="002B18E0" w:rsidRDefault="002B18E0" w:rsidP="001F5BDB">
            <w:pPr>
              <w:widowControl w:val="0"/>
              <w:jc w:val="center"/>
            </w:pPr>
            <w:r>
              <w:t>29.6±1.3</w:t>
            </w:r>
          </w:p>
        </w:tc>
        <w:tc>
          <w:tcPr>
            <w:tcW w:w="1458" w:type="dxa"/>
            <w:shd w:val="clear" w:color="auto" w:fill="auto"/>
            <w:tcMar>
              <w:top w:w="100" w:type="dxa"/>
              <w:left w:w="100" w:type="dxa"/>
              <w:bottom w:w="100" w:type="dxa"/>
              <w:right w:w="100" w:type="dxa"/>
            </w:tcMar>
          </w:tcPr>
          <w:p w14:paraId="025D6DFC" w14:textId="77777777" w:rsidR="002B18E0" w:rsidRDefault="002B18E0" w:rsidP="001F5BDB">
            <w:pPr>
              <w:widowControl w:val="0"/>
              <w:jc w:val="center"/>
            </w:pPr>
            <w:r>
              <w:t>24.6±1.7</w:t>
            </w:r>
          </w:p>
        </w:tc>
      </w:tr>
      <w:tr w:rsidR="002B18E0" w14:paraId="5770A7A2" w14:textId="77777777" w:rsidTr="00457E21">
        <w:trPr>
          <w:trHeight w:val="283"/>
        </w:trPr>
        <w:tc>
          <w:tcPr>
            <w:tcW w:w="2187" w:type="dxa"/>
            <w:shd w:val="clear" w:color="auto" w:fill="auto"/>
            <w:tcMar>
              <w:top w:w="100" w:type="dxa"/>
              <w:left w:w="100" w:type="dxa"/>
              <w:bottom w:w="100" w:type="dxa"/>
              <w:right w:w="100" w:type="dxa"/>
            </w:tcMar>
          </w:tcPr>
          <w:p w14:paraId="202B9B83" w14:textId="4A77FD7F" w:rsidR="002B18E0" w:rsidRDefault="002B18E0" w:rsidP="001F5BDB">
            <w:pPr>
              <w:widowControl w:val="0"/>
              <w:jc w:val="center"/>
              <w:rPr>
                <w:b/>
              </w:rPr>
            </w:pPr>
            <w:proofErr w:type="spellStart"/>
            <w:r>
              <w:rPr>
                <w:b/>
              </w:rPr>
              <w:t>pH</w:t>
            </w:r>
            <w:r w:rsidR="00412AFA" w:rsidRPr="005F535A">
              <w:rPr>
                <w:b/>
                <w:vertAlign w:val="subscript"/>
              </w:rPr>
              <w:t>T</w:t>
            </w:r>
            <w:proofErr w:type="spellEnd"/>
          </w:p>
        </w:tc>
        <w:tc>
          <w:tcPr>
            <w:tcW w:w="1427" w:type="dxa"/>
            <w:shd w:val="clear" w:color="auto" w:fill="auto"/>
            <w:tcMar>
              <w:top w:w="100" w:type="dxa"/>
              <w:left w:w="100" w:type="dxa"/>
              <w:bottom w:w="100" w:type="dxa"/>
              <w:right w:w="100" w:type="dxa"/>
            </w:tcMar>
          </w:tcPr>
          <w:p w14:paraId="43F9C735" w14:textId="77777777" w:rsidR="002B18E0" w:rsidRDefault="002B18E0" w:rsidP="001F5BDB">
            <w:pPr>
              <w:widowControl w:val="0"/>
              <w:jc w:val="center"/>
            </w:pPr>
            <w:r>
              <w:t>8.07±0.15</w:t>
            </w:r>
          </w:p>
        </w:tc>
        <w:tc>
          <w:tcPr>
            <w:tcW w:w="1428" w:type="dxa"/>
            <w:shd w:val="clear" w:color="auto" w:fill="auto"/>
            <w:tcMar>
              <w:top w:w="100" w:type="dxa"/>
              <w:left w:w="100" w:type="dxa"/>
              <w:bottom w:w="100" w:type="dxa"/>
              <w:right w:w="100" w:type="dxa"/>
            </w:tcMar>
          </w:tcPr>
          <w:p w14:paraId="605C1531" w14:textId="77777777" w:rsidR="002B18E0" w:rsidRDefault="002B18E0" w:rsidP="001F5BDB">
            <w:pPr>
              <w:widowControl w:val="0"/>
              <w:jc w:val="center"/>
            </w:pPr>
            <w:r>
              <w:t>7.86±0.17</w:t>
            </w:r>
          </w:p>
        </w:tc>
        <w:tc>
          <w:tcPr>
            <w:tcW w:w="1612" w:type="dxa"/>
            <w:shd w:val="clear" w:color="auto" w:fill="auto"/>
            <w:tcMar>
              <w:top w:w="100" w:type="dxa"/>
              <w:left w:w="100" w:type="dxa"/>
              <w:bottom w:w="100" w:type="dxa"/>
              <w:right w:w="100" w:type="dxa"/>
            </w:tcMar>
          </w:tcPr>
          <w:p w14:paraId="47A5E9F1" w14:textId="77777777" w:rsidR="002B18E0" w:rsidRDefault="002B18E0" w:rsidP="001F5BDB">
            <w:pPr>
              <w:widowControl w:val="0"/>
              <w:jc w:val="center"/>
            </w:pPr>
            <w:r>
              <w:t>8.01±0.20</w:t>
            </w:r>
          </w:p>
        </w:tc>
        <w:tc>
          <w:tcPr>
            <w:tcW w:w="1458" w:type="dxa"/>
            <w:shd w:val="clear" w:color="auto" w:fill="auto"/>
            <w:tcMar>
              <w:top w:w="100" w:type="dxa"/>
              <w:left w:w="100" w:type="dxa"/>
              <w:bottom w:w="100" w:type="dxa"/>
              <w:right w:w="100" w:type="dxa"/>
            </w:tcMar>
          </w:tcPr>
          <w:p w14:paraId="430CA708" w14:textId="77777777" w:rsidR="002B18E0" w:rsidRDefault="002B18E0" w:rsidP="001F5BDB">
            <w:pPr>
              <w:widowControl w:val="0"/>
              <w:jc w:val="center"/>
            </w:pPr>
            <w:r>
              <w:t>8.01±0.16</w:t>
            </w:r>
          </w:p>
        </w:tc>
      </w:tr>
      <w:tr w:rsidR="002B18E0" w14:paraId="16EDC8B1" w14:textId="77777777" w:rsidTr="00457E21">
        <w:trPr>
          <w:trHeight w:val="283"/>
        </w:trPr>
        <w:tc>
          <w:tcPr>
            <w:tcW w:w="2187" w:type="dxa"/>
            <w:shd w:val="clear" w:color="auto" w:fill="auto"/>
            <w:tcMar>
              <w:top w:w="100" w:type="dxa"/>
              <w:left w:w="100" w:type="dxa"/>
              <w:bottom w:w="100" w:type="dxa"/>
              <w:right w:w="100" w:type="dxa"/>
            </w:tcMar>
          </w:tcPr>
          <w:p w14:paraId="17DBE7DE" w14:textId="331F3FF0" w:rsidR="002B18E0" w:rsidRDefault="00F51E92" w:rsidP="00BA57BA">
            <w:pPr>
              <w:widowControl w:val="0"/>
              <w:jc w:val="center"/>
              <w:rPr>
                <w:b/>
              </w:rPr>
            </w:pPr>
            <w:r>
              <w:rPr>
                <w:b/>
              </w:rPr>
              <w:t>C</w:t>
            </w:r>
            <w:r w:rsidR="002B18E0">
              <w:rPr>
                <w:b/>
              </w:rPr>
              <w:t>hlorophyll</w:t>
            </w:r>
            <w:r>
              <w:rPr>
                <w:b/>
              </w:rPr>
              <w:t xml:space="preserve"> (</w:t>
            </w:r>
            <w:r w:rsidR="00BA57BA" w:rsidRPr="00BA57BA">
              <w:rPr>
                <w:b/>
              </w:rPr>
              <w:t>µg/L</w:t>
            </w:r>
            <w:r>
              <w:rPr>
                <w:b/>
              </w:rPr>
              <w:t>)</w:t>
            </w:r>
          </w:p>
        </w:tc>
        <w:tc>
          <w:tcPr>
            <w:tcW w:w="1427" w:type="dxa"/>
            <w:shd w:val="clear" w:color="auto" w:fill="auto"/>
            <w:tcMar>
              <w:top w:w="100" w:type="dxa"/>
              <w:left w:w="100" w:type="dxa"/>
              <w:bottom w:w="100" w:type="dxa"/>
              <w:right w:w="100" w:type="dxa"/>
            </w:tcMar>
          </w:tcPr>
          <w:p w14:paraId="6A5AE658" w14:textId="371B1EBB" w:rsidR="002B18E0" w:rsidRDefault="002B18E0" w:rsidP="001F5BDB">
            <w:pPr>
              <w:widowControl w:val="0"/>
              <w:jc w:val="center"/>
            </w:pPr>
            <w:r>
              <w:t>2</w:t>
            </w:r>
            <w:r w:rsidR="002F0F9F">
              <w:t>.</w:t>
            </w:r>
            <w:r>
              <w:t>27±4</w:t>
            </w:r>
            <w:r w:rsidR="002F0F9F">
              <w:t>.</w:t>
            </w:r>
            <w:r>
              <w:t>09</w:t>
            </w:r>
          </w:p>
        </w:tc>
        <w:tc>
          <w:tcPr>
            <w:tcW w:w="1428" w:type="dxa"/>
            <w:shd w:val="clear" w:color="auto" w:fill="auto"/>
            <w:tcMar>
              <w:top w:w="100" w:type="dxa"/>
              <w:left w:w="100" w:type="dxa"/>
              <w:bottom w:w="100" w:type="dxa"/>
              <w:right w:w="100" w:type="dxa"/>
            </w:tcMar>
          </w:tcPr>
          <w:p w14:paraId="3C43AEBD" w14:textId="2676B4D7" w:rsidR="002B18E0" w:rsidRDefault="002B18E0" w:rsidP="001F5BDB">
            <w:pPr>
              <w:widowControl w:val="0"/>
              <w:jc w:val="center"/>
            </w:pPr>
            <w:r>
              <w:t>2</w:t>
            </w:r>
            <w:r w:rsidR="002F0F9F">
              <w:t>.</w:t>
            </w:r>
            <w:r>
              <w:t>25±1</w:t>
            </w:r>
            <w:r w:rsidR="002F0F9F">
              <w:t>.</w:t>
            </w:r>
            <w:r>
              <w:t>45</w:t>
            </w:r>
          </w:p>
        </w:tc>
        <w:tc>
          <w:tcPr>
            <w:tcW w:w="1612" w:type="dxa"/>
            <w:shd w:val="clear" w:color="auto" w:fill="auto"/>
            <w:tcMar>
              <w:top w:w="100" w:type="dxa"/>
              <w:left w:w="100" w:type="dxa"/>
              <w:bottom w:w="100" w:type="dxa"/>
              <w:right w:w="100" w:type="dxa"/>
            </w:tcMar>
          </w:tcPr>
          <w:p w14:paraId="0B934A4D" w14:textId="33046BD5" w:rsidR="002B18E0" w:rsidRDefault="002B18E0" w:rsidP="001F5BDB">
            <w:pPr>
              <w:widowControl w:val="0"/>
              <w:jc w:val="center"/>
            </w:pPr>
            <w:r>
              <w:t>5</w:t>
            </w:r>
            <w:r w:rsidR="002F0F9F">
              <w:t>.</w:t>
            </w:r>
            <w:r>
              <w:t>72±15</w:t>
            </w:r>
            <w:r w:rsidR="002F0F9F">
              <w:t>.</w:t>
            </w:r>
            <w:r>
              <w:t>36</w:t>
            </w:r>
          </w:p>
        </w:tc>
        <w:tc>
          <w:tcPr>
            <w:tcW w:w="1458" w:type="dxa"/>
            <w:shd w:val="clear" w:color="auto" w:fill="auto"/>
            <w:tcMar>
              <w:top w:w="100" w:type="dxa"/>
              <w:left w:w="100" w:type="dxa"/>
              <w:bottom w:w="100" w:type="dxa"/>
              <w:right w:w="100" w:type="dxa"/>
            </w:tcMar>
          </w:tcPr>
          <w:p w14:paraId="2C9623F2" w14:textId="4BA9880B" w:rsidR="002B18E0" w:rsidRDefault="002B18E0" w:rsidP="001F5BDB">
            <w:pPr>
              <w:widowControl w:val="0"/>
              <w:jc w:val="center"/>
            </w:pPr>
            <w:r>
              <w:t>3</w:t>
            </w:r>
            <w:r w:rsidR="002F0F9F">
              <w:t>.</w:t>
            </w:r>
            <w:r>
              <w:t>31±6</w:t>
            </w:r>
            <w:r w:rsidR="002F0F9F">
              <w:t>.</w:t>
            </w:r>
            <w:r>
              <w:t>13</w:t>
            </w:r>
          </w:p>
        </w:tc>
      </w:tr>
    </w:tbl>
    <w:p w14:paraId="25C712A9" w14:textId="635819B3" w:rsidR="002B18E0" w:rsidRDefault="002B18E0" w:rsidP="001554ED">
      <w:pPr>
        <w:suppressLineNumbers/>
        <w:rPr>
          <w:b/>
          <w:sz w:val="36"/>
          <w:szCs w:val="36"/>
        </w:rPr>
      </w:pPr>
    </w:p>
    <w:p w14:paraId="232DF8B9" w14:textId="091D73E6" w:rsidR="001B695C" w:rsidRPr="002B18E0" w:rsidRDefault="00B85906" w:rsidP="00E808F8">
      <w:pPr>
        <w:suppressLineNumbers/>
        <w:spacing w:line="276" w:lineRule="auto"/>
        <w:rPr>
          <w:b/>
          <w:sz w:val="36"/>
          <w:szCs w:val="36"/>
        </w:rPr>
      </w:pPr>
      <w:r>
        <w:rPr>
          <w:b/>
          <w:sz w:val="36"/>
          <w:szCs w:val="36"/>
        </w:rPr>
        <w:br w:type="page"/>
      </w:r>
    </w:p>
    <w:tbl>
      <w:tblPr>
        <w:tblStyle w:val="a0"/>
        <w:tblW w:w="973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70"/>
        <w:gridCol w:w="681"/>
        <w:gridCol w:w="714"/>
        <w:gridCol w:w="665"/>
        <w:gridCol w:w="11"/>
        <w:gridCol w:w="656"/>
        <w:gridCol w:w="7"/>
        <w:gridCol w:w="12"/>
        <w:gridCol w:w="651"/>
        <w:gridCol w:w="8"/>
        <w:gridCol w:w="662"/>
        <w:gridCol w:w="669"/>
        <w:gridCol w:w="670"/>
        <w:gridCol w:w="681"/>
        <w:gridCol w:w="719"/>
        <w:gridCol w:w="719"/>
        <w:gridCol w:w="719"/>
        <w:gridCol w:w="719"/>
      </w:tblGrid>
      <w:tr w:rsidR="00986591" w:rsidRPr="00FA6EFF" w14:paraId="5C4969A5" w14:textId="77777777" w:rsidTr="008F444B">
        <w:trPr>
          <w:trHeight w:val="22"/>
        </w:trPr>
        <w:tc>
          <w:tcPr>
            <w:tcW w:w="9733" w:type="dxa"/>
            <w:gridSpan w:val="18"/>
            <w:tcBorders>
              <w:left w:val="single" w:sz="4" w:space="0" w:color="000000"/>
              <w:bottom w:val="single" w:sz="8" w:space="0" w:color="000000"/>
              <w:right w:val="single" w:sz="4" w:space="0" w:color="000000"/>
            </w:tcBorders>
            <w:shd w:val="clear" w:color="auto" w:fill="auto"/>
            <w:tcMar>
              <w:top w:w="101" w:type="dxa"/>
              <w:left w:w="101" w:type="dxa"/>
            </w:tcMar>
          </w:tcPr>
          <w:p w14:paraId="7046842B" w14:textId="748213F2" w:rsidR="00986591" w:rsidRPr="00986591" w:rsidRDefault="00986591" w:rsidP="008F444B">
            <w:pPr>
              <w:widowControl w:val="0"/>
              <w:spacing w:line="480" w:lineRule="auto"/>
              <w:contextualSpacing/>
            </w:pPr>
            <w:r>
              <w:rPr>
                <w:b/>
              </w:rPr>
              <w:lastRenderedPageBreak/>
              <w:t xml:space="preserve">Table 2: Gonad stage and sex comparisons among treatments. </w:t>
            </w:r>
            <w:r>
              <w:t>Gonad was sampled after temperature treatment but before pCO</w:t>
            </w:r>
            <w:r>
              <w:rPr>
                <w:vertAlign w:val="subscript"/>
              </w:rPr>
              <w:t>2</w:t>
            </w:r>
            <w:r>
              <w:t xml:space="preserve"> (6°C Pre and 10°C Pre, n=54), and after pCO</w:t>
            </w:r>
            <w:r>
              <w:rPr>
                <w:vertAlign w:val="subscript"/>
              </w:rPr>
              <w:t>2</w:t>
            </w:r>
            <w:r>
              <w:t xml:space="preserve"> treatment (</w:t>
            </w:r>
            <w:proofErr w:type="spellStart"/>
            <w:r>
              <w:t>Amb</w:t>
            </w:r>
            <w:proofErr w:type="spellEnd"/>
            <w:r>
              <w:t>=841±85 µ</w:t>
            </w:r>
            <w:proofErr w:type="spellStart"/>
            <w:r>
              <w:t>atm</w:t>
            </w:r>
            <w:proofErr w:type="spellEnd"/>
            <w:r>
              <w:t>, n=39; High= 3045±488 µ</w:t>
            </w:r>
            <w:proofErr w:type="spellStart"/>
            <w:r>
              <w:t>atm</w:t>
            </w:r>
            <w:proofErr w:type="spellEnd"/>
            <w:r>
              <w:t xml:space="preserve">, n=39). </w:t>
            </w:r>
            <w:r w:rsidRPr="00960525">
              <w:t xml:space="preserve">Pearson’s chi-square </w:t>
            </w:r>
            <w:r>
              <w:t>statistics are shown with p-</w:t>
            </w:r>
            <w:proofErr w:type="spellStart"/>
            <w:r>
              <w:t>adj</w:t>
            </w:r>
            <w:proofErr w:type="spellEnd"/>
            <w:r>
              <w:t xml:space="preserve"> in parentheses for gonad sex, stage of the dominant sex, male gametes when present, and female gametes when present. Cells with * and in bold indicate significant differences between comparison; blank cells=not tested; % of mature = % of sampled oysters that contained stage 3</w:t>
            </w:r>
            <w:r>
              <w:t xml:space="preserve"> gametes</w:t>
            </w:r>
            <w:r>
              <w:t xml:space="preserve"> </w:t>
            </w:r>
            <w:r>
              <w:t>in</w:t>
            </w:r>
            <w:r>
              <w:t xml:space="preserve"> </w:t>
            </w:r>
            <w:r>
              <w:t xml:space="preserve">each </w:t>
            </w:r>
            <w:r>
              <w:t>treatment</w:t>
            </w:r>
            <w:r>
              <w:t>, for male and female gametes separately</w:t>
            </w:r>
            <w:r>
              <w:t>.</w:t>
            </w:r>
          </w:p>
        </w:tc>
      </w:tr>
      <w:tr w:rsidR="00E26164" w14:paraId="62DEF81B" w14:textId="77777777" w:rsidTr="00D25422">
        <w:trPr>
          <w:trHeight w:val="20"/>
        </w:trPr>
        <w:tc>
          <w:tcPr>
            <w:tcW w:w="1454" w:type="dxa"/>
            <w:gridSpan w:val="2"/>
            <w:tcBorders>
              <w:top w:val="single" w:sz="8" w:space="0" w:color="000000"/>
              <w:left w:val="single" w:sz="8" w:space="0" w:color="000000"/>
              <w:bottom w:val="nil"/>
              <w:right w:val="single" w:sz="8" w:space="0" w:color="000000"/>
            </w:tcBorders>
            <w:shd w:val="clear" w:color="auto" w:fill="auto"/>
            <w:vAlign w:val="center"/>
          </w:tcPr>
          <w:p w14:paraId="6342018E" w14:textId="6FBD843C" w:rsidR="00E26164" w:rsidRPr="00F05519" w:rsidRDefault="00E26164" w:rsidP="00D25422">
            <w:pPr>
              <w:widowControl w:val="0"/>
              <w:jc w:val="center"/>
              <w:rPr>
                <w:b/>
                <w:sz w:val="21"/>
                <w:szCs w:val="21"/>
              </w:rPr>
            </w:pPr>
            <w:r w:rsidRPr="00F05519">
              <w:rPr>
                <w:b/>
                <w:sz w:val="21"/>
                <w:szCs w:val="21"/>
              </w:rPr>
              <w:t>Temp</w:t>
            </w:r>
            <w:r w:rsidR="00986591">
              <w:rPr>
                <w:b/>
                <w:sz w:val="21"/>
                <w:szCs w:val="21"/>
              </w:rPr>
              <w:t>erature</w:t>
            </w:r>
          </w:p>
        </w:tc>
        <w:tc>
          <w:tcPr>
            <w:tcW w:w="2067" w:type="dxa"/>
            <w:gridSpan w:val="6"/>
            <w:tcBorders>
              <w:left w:val="single" w:sz="8" w:space="0" w:color="000000"/>
            </w:tcBorders>
            <w:shd w:val="clear" w:color="auto" w:fill="auto"/>
            <w:tcMar>
              <w:top w:w="100" w:type="dxa"/>
              <w:left w:w="100" w:type="dxa"/>
              <w:bottom w:w="100" w:type="dxa"/>
              <w:right w:w="100" w:type="dxa"/>
            </w:tcMar>
            <w:vAlign w:val="center"/>
          </w:tcPr>
          <w:p w14:paraId="5A9DFF0E" w14:textId="74DAD7A2" w:rsidR="00E26164" w:rsidRPr="006F0399" w:rsidRDefault="00E26164" w:rsidP="00D25422">
            <w:pPr>
              <w:widowControl w:val="0"/>
              <w:jc w:val="center"/>
              <w:rPr>
                <w:b/>
                <w:sz w:val="22"/>
                <w:szCs w:val="22"/>
              </w:rPr>
            </w:pPr>
            <w:r w:rsidRPr="006F0399">
              <w:rPr>
                <w:b/>
                <w:sz w:val="22"/>
                <w:szCs w:val="22"/>
              </w:rPr>
              <w:t>6°C</w:t>
            </w:r>
          </w:p>
        </w:tc>
        <w:tc>
          <w:tcPr>
            <w:tcW w:w="1985" w:type="dxa"/>
            <w:gridSpan w:val="4"/>
            <w:shd w:val="clear" w:color="auto" w:fill="auto"/>
            <w:tcMar>
              <w:top w:w="100" w:type="dxa"/>
              <w:left w:w="100" w:type="dxa"/>
              <w:bottom w:w="100" w:type="dxa"/>
              <w:right w:w="100" w:type="dxa"/>
            </w:tcMar>
            <w:vAlign w:val="center"/>
          </w:tcPr>
          <w:p w14:paraId="1BF2ACCC" w14:textId="4FCD529C" w:rsidR="00E26164" w:rsidRPr="006F0399" w:rsidRDefault="00E26164" w:rsidP="00D25422">
            <w:pPr>
              <w:widowControl w:val="0"/>
              <w:jc w:val="center"/>
              <w:rPr>
                <w:b/>
                <w:sz w:val="22"/>
                <w:szCs w:val="22"/>
              </w:rPr>
            </w:pPr>
            <w:r w:rsidRPr="006F0399">
              <w:rPr>
                <w:b/>
                <w:sz w:val="22"/>
                <w:szCs w:val="22"/>
              </w:rPr>
              <w:t>10°C</w:t>
            </w:r>
          </w:p>
        </w:tc>
        <w:tc>
          <w:tcPr>
            <w:tcW w:w="2070" w:type="dxa"/>
            <w:gridSpan w:val="3"/>
            <w:shd w:val="clear" w:color="auto" w:fill="auto"/>
            <w:tcMar>
              <w:top w:w="100" w:type="dxa"/>
              <w:left w:w="100" w:type="dxa"/>
              <w:bottom w:w="100" w:type="dxa"/>
              <w:right w:w="100" w:type="dxa"/>
            </w:tcMar>
            <w:vAlign w:val="center"/>
          </w:tcPr>
          <w:p w14:paraId="4EDBF6DE" w14:textId="50C36EE8" w:rsidR="00E26164" w:rsidRPr="006F0399" w:rsidRDefault="00E26164" w:rsidP="00D25422">
            <w:pPr>
              <w:widowControl w:val="0"/>
              <w:jc w:val="center"/>
              <w:rPr>
                <w:b/>
                <w:sz w:val="22"/>
                <w:szCs w:val="22"/>
              </w:rPr>
            </w:pPr>
            <w:r w:rsidRPr="006F0399">
              <w:rPr>
                <w:b/>
                <w:sz w:val="22"/>
                <w:szCs w:val="22"/>
              </w:rPr>
              <w:t>6°C</w:t>
            </w:r>
          </w:p>
        </w:tc>
        <w:tc>
          <w:tcPr>
            <w:tcW w:w="2157" w:type="dxa"/>
            <w:gridSpan w:val="3"/>
            <w:shd w:val="clear" w:color="auto" w:fill="auto"/>
            <w:tcMar>
              <w:top w:w="100" w:type="dxa"/>
              <w:left w:w="100" w:type="dxa"/>
              <w:bottom w:w="100" w:type="dxa"/>
              <w:right w:w="100" w:type="dxa"/>
            </w:tcMar>
            <w:vAlign w:val="center"/>
          </w:tcPr>
          <w:p w14:paraId="72D14F60" w14:textId="7482989D" w:rsidR="00E26164" w:rsidRPr="006F0399" w:rsidRDefault="00E26164" w:rsidP="00D25422">
            <w:pPr>
              <w:widowControl w:val="0"/>
              <w:jc w:val="center"/>
              <w:rPr>
                <w:b/>
                <w:sz w:val="22"/>
                <w:szCs w:val="22"/>
              </w:rPr>
            </w:pPr>
            <w:r w:rsidRPr="006F0399">
              <w:rPr>
                <w:b/>
                <w:sz w:val="22"/>
                <w:szCs w:val="22"/>
              </w:rPr>
              <w:t>10°C</w:t>
            </w:r>
          </w:p>
        </w:tc>
        <w:bookmarkStart w:id="0" w:name="_GoBack"/>
        <w:bookmarkEnd w:id="0"/>
      </w:tr>
      <w:tr w:rsidR="00986591" w14:paraId="078486F0" w14:textId="77777777" w:rsidTr="00D25422">
        <w:trPr>
          <w:trHeight w:val="69"/>
        </w:trPr>
        <w:tc>
          <w:tcPr>
            <w:tcW w:w="772" w:type="dxa"/>
            <w:tcBorders>
              <w:top w:val="nil"/>
              <w:bottom w:val="nil"/>
            </w:tcBorders>
            <w:shd w:val="clear" w:color="auto" w:fill="auto"/>
            <w:vAlign w:val="center"/>
          </w:tcPr>
          <w:p w14:paraId="1094EBA5" w14:textId="783C63C0" w:rsidR="00986591" w:rsidRPr="006F0399" w:rsidRDefault="00986591" w:rsidP="00D25422">
            <w:pPr>
              <w:widowControl w:val="0"/>
              <w:jc w:val="center"/>
              <w:rPr>
                <w:b/>
                <w:sz w:val="18"/>
                <w:szCs w:val="18"/>
              </w:rPr>
            </w:pPr>
          </w:p>
        </w:tc>
        <w:tc>
          <w:tcPr>
            <w:tcW w:w="682" w:type="dxa"/>
            <w:tcBorders>
              <w:top w:val="single" w:sz="8" w:space="0" w:color="000000"/>
              <w:bottom w:val="nil"/>
            </w:tcBorders>
            <w:shd w:val="clear" w:color="auto" w:fill="auto"/>
            <w:tcMar>
              <w:top w:w="100" w:type="dxa"/>
              <w:left w:w="100" w:type="dxa"/>
              <w:bottom w:w="100" w:type="dxa"/>
              <w:right w:w="100" w:type="dxa"/>
            </w:tcMar>
            <w:vAlign w:val="center"/>
          </w:tcPr>
          <w:p w14:paraId="387EB5F1" w14:textId="531DE9CC" w:rsidR="00986591" w:rsidRPr="00C22AEE" w:rsidRDefault="00986591" w:rsidP="00D25422">
            <w:pPr>
              <w:widowControl w:val="0"/>
              <w:jc w:val="center"/>
              <w:rPr>
                <w:sz w:val="20"/>
                <w:szCs w:val="20"/>
              </w:rPr>
            </w:pPr>
            <w:r w:rsidRPr="00C22AEE">
              <w:rPr>
                <w:b/>
                <w:sz w:val="20"/>
                <w:szCs w:val="20"/>
              </w:rPr>
              <w:t>pCO</w:t>
            </w:r>
            <w:r w:rsidRPr="00C22AEE">
              <w:rPr>
                <w:b/>
                <w:sz w:val="20"/>
                <w:szCs w:val="20"/>
                <w:vertAlign w:val="subscript"/>
              </w:rPr>
              <w:t>2</w:t>
            </w:r>
          </w:p>
        </w:tc>
        <w:tc>
          <w:tcPr>
            <w:tcW w:w="715" w:type="dxa"/>
            <w:tcBorders>
              <w:bottom w:val="single" w:sz="18" w:space="0" w:color="auto"/>
            </w:tcBorders>
            <w:shd w:val="clear" w:color="auto" w:fill="auto"/>
            <w:tcMar>
              <w:top w:w="100" w:type="dxa"/>
              <w:left w:w="100" w:type="dxa"/>
              <w:bottom w:w="100" w:type="dxa"/>
              <w:right w:w="100" w:type="dxa"/>
            </w:tcMar>
            <w:vAlign w:val="center"/>
          </w:tcPr>
          <w:p w14:paraId="7016A7FA" w14:textId="56E7986D" w:rsidR="00986591" w:rsidRPr="00C22AEE" w:rsidRDefault="00986591" w:rsidP="00D25422">
            <w:pPr>
              <w:widowControl w:val="0"/>
              <w:jc w:val="center"/>
              <w:rPr>
                <w:b/>
                <w:sz w:val="20"/>
                <w:szCs w:val="20"/>
              </w:rPr>
            </w:pPr>
            <w:r w:rsidRPr="00C22AEE">
              <w:rPr>
                <w:b/>
                <w:sz w:val="20"/>
                <w:szCs w:val="20"/>
              </w:rPr>
              <w:t>Pre</w:t>
            </w:r>
          </w:p>
        </w:tc>
        <w:tc>
          <w:tcPr>
            <w:tcW w:w="677" w:type="dxa"/>
            <w:gridSpan w:val="2"/>
            <w:tcBorders>
              <w:bottom w:val="single" w:sz="18" w:space="0" w:color="auto"/>
            </w:tcBorders>
            <w:shd w:val="clear" w:color="auto" w:fill="auto"/>
            <w:tcMar>
              <w:top w:w="100" w:type="dxa"/>
              <w:left w:w="100" w:type="dxa"/>
              <w:bottom w:w="100" w:type="dxa"/>
              <w:right w:w="100" w:type="dxa"/>
            </w:tcMar>
            <w:vAlign w:val="center"/>
          </w:tcPr>
          <w:p w14:paraId="30372253" w14:textId="0DCF663E" w:rsidR="00986591" w:rsidRPr="00C22AEE" w:rsidRDefault="00986591" w:rsidP="00D25422">
            <w:pPr>
              <w:widowControl w:val="0"/>
              <w:jc w:val="center"/>
              <w:rPr>
                <w:b/>
                <w:sz w:val="20"/>
                <w:szCs w:val="20"/>
              </w:rPr>
            </w:pPr>
            <w:proofErr w:type="spellStart"/>
            <w:r w:rsidRPr="00C22AEE">
              <w:rPr>
                <w:b/>
                <w:sz w:val="20"/>
                <w:szCs w:val="20"/>
              </w:rPr>
              <w:t>Amb</w:t>
            </w:r>
            <w:proofErr w:type="spellEnd"/>
          </w:p>
        </w:tc>
        <w:tc>
          <w:tcPr>
            <w:tcW w:w="675" w:type="dxa"/>
            <w:gridSpan w:val="3"/>
            <w:tcBorders>
              <w:bottom w:val="single" w:sz="18" w:space="0" w:color="auto"/>
            </w:tcBorders>
            <w:shd w:val="clear" w:color="auto" w:fill="auto"/>
            <w:tcMar>
              <w:top w:w="100" w:type="dxa"/>
              <w:left w:w="100" w:type="dxa"/>
              <w:bottom w:w="100" w:type="dxa"/>
              <w:right w:w="100" w:type="dxa"/>
            </w:tcMar>
            <w:vAlign w:val="center"/>
          </w:tcPr>
          <w:p w14:paraId="1ED33905" w14:textId="01D9A10D" w:rsidR="00986591" w:rsidRPr="00C22AEE" w:rsidRDefault="00986591" w:rsidP="00D25422">
            <w:pPr>
              <w:widowControl w:val="0"/>
              <w:jc w:val="center"/>
              <w:rPr>
                <w:b/>
                <w:sz w:val="20"/>
                <w:szCs w:val="20"/>
              </w:rPr>
            </w:pPr>
            <w:r w:rsidRPr="00C22AEE">
              <w:rPr>
                <w:b/>
                <w:sz w:val="20"/>
                <w:szCs w:val="20"/>
              </w:rPr>
              <w:t>High</w:t>
            </w:r>
          </w:p>
        </w:tc>
        <w:tc>
          <w:tcPr>
            <w:tcW w:w="659" w:type="dxa"/>
            <w:gridSpan w:val="2"/>
            <w:tcBorders>
              <w:bottom w:val="single" w:sz="18" w:space="0" w:color="auto"/>
            </w:tcBorders>
            <w:shd w:val="clear" w:color="auto" w:fill="auto"/>
            <w:tcMar>
              <w:top w:w="100" w:type="dxa"/>
              <w:left w:w="100" w:type="dxa"/>
              <w:bottom w:w="100" w:type="dxa"/>
              <w:right w:w="100" w:type="dxa"/>
            </w:tcMar>
            <w:vAlign w:val="center"/>
          </w:tcPr>
          <w:p w14:paraId="1D972D47" w14:textId="778F52A1" w:rsidR="00986591" w:rsidRPr="00C22AEE" w:rsidRDefault="00986591" w:rsidP="00D25422">
            <w:pPr>
              <w:widowControl w:val="0"/>
              <w:jc w:val="center"/>
              <w:rPr>
                <w:b/>
                <w:sz w:val="20"/>
                <w:szCs w:val="20"/>
              </w:rPr>
            </w:pPr>
            <w:r w:rsidRPr="00C22AEE">
              <w:rPr>
                <w:b/>
                <w:sz w:val="20"/>
                <w:szCs w:val="20"/>
              </w:rPr>
              <w:t>Pre</w:t>
            </w:r>
          </w:p>
        </w:tc>
        <w:tc>
          <w:tcPr>
            <w:tcW w:w="662" w:type="dxa"/>
            <w:tcBorders>
              <w:bottom w:val="single" w:sz="18" w:space="0" w:color="auto"/>
            </w:tcBorders>
            <w:shd w:val="clear" w:color="auto" w:fill="auto"/>
            <w:tcMar>
              <w:top w:w="100" w:type="dxa"/>
              <w:left w:w="100" w:type="dxa"/>
              <w:bottom w:w="100" w:type="dxa"/>
              <w:right w:w="100" w:type="dxa"/>
            </w:tcMar>
            <w:vAlign w:val="center"/>
          </w:tcPr>
          <w:p w14:paraId="56B17E5B" w14:textId="4C1B2A16" w:rsidR="00986591" w:rsidRPr="00C22AEE" w:rsidRDefault="00986591" w:rsidP="00D25422">
            <w:pPr>
              <w:widowControl w:val="0"/>
              <w:jc w:val="center"/>
              <w:rPr>
                <w:b/>
                <w:sz w:val="20"/>
                <w:szCs w:val="20"/>
              </w:rPr>
            </w:pPr>
            <w:proofErr w:type="spellStart"/>
            <w:r w:rsidRPr="00C22AEE">
              <w:rPr>
                <w:b/>
                <w:sz w:val="20"/>
                <w:szCs w:val="20"/>
              </w:rPr>
              <w:t>Amb</w:t>
            </w:r>
            <w:proofErr w:type="spellEnd"/>
          </w:p>
        </w:tc>
        <w:tc>
          <w:tcPr>
            <w:tcW w:w="664" w:type="dxa"/>
            <w:tcBorders>
              <w:bottom w:val="single" w:sz="18" w:space="0" w:color="auto"/>
            </w:tcBorders>
            <w:shd w:val="clear" w:color="auto" w:fill="auto"/>
            <w:tcMar>
              <w:top w:w="100" w:type="dxa"/>
              <w:left w:w="100" w:type="dxa"/>
              <w:bottom w:w="100" w:type="dxa"/>
              <w:right w:w="100" w:type="dxa"/>
            </w:tcMar>
            <w:vAlign w:val="center"/>
          </w:tcPr>
          <w:p w14:paraId="00057E51" w14:textId="7C2E78EB" w:rsidR="00986591" w:rsidRPr="00C22AEE" w:rsidRDefault="00986591" w:rsidP="00D25422">
            <w:pPr>
              <w:widowControl w:val="0"/>
              <w:jc w:val="center"/>
              <w:rPr>
                <w:b/>
                <w:sz w:val="20"/>
                <w:szCs w:val="20"/>
                <w:vertAlign w:val="subscript"/>
              </w:rPr>
            </w:pPr>
            <w:r w:rsidRPr="00C22AEE">
              <w:rPr>
                <w:b/>
                <w:sz w:val="20"/>
                <w:szCs w:val="20"/>
              </w:rPr>
              <w:t>High</w:t>
            </w:r>
          </w:p>
        </w:tc>
        <w:tc>
          <w:tcPr>
            <w:tcW w:w="670" w:type="dxa"/>
            <w:tcBorders>
              <w:bottom w:val="single" w:sz="18" w:space="0" w:color="auto"/>
            </w:tcBorders>
            <w:shd w:val="clear" w:color="auto" w:fill="auto"/>
            <w:tcMar>
              <w:top w:w="100" w:type="dxa"/>
              <w:left w:w="100" w:type="dxa"/>
              <w:bottom w:w="100" w:type="dxa"/>
              <w:right w:w="100" w:type="dxa"/>
            </w:tcMar>
            <w:vAlign w:val="center"/>
          </w:tcPr>
          <w:p w14:paraId="36C521CD" w14:textId="6892076D" w:rsidR="00986591" w:rsidRPr="00C22AEE" w:rsidRDefault="00986591" w:rsidP="00D25422">
            <w:pPr>
              <w:widowControl w:val="0"/>
              <w:jc w:val="center"/>
              <w:rPr>
                <w:b/>
                <w:sz w:val="20"/>
                <w:szCs w:val="20"/>
              </w:rPr>
            </w:pPr>
            <w:r w:rsidRPr="00C22AEE">
              <w:rPr>
                <w:b/>
                <w:sz w:val="20"/>
                <w:szCs w:val="20"/>
              </w:rPr>
              <w:t>Pre</w:t>
            </w:r>
          </w:p>
        </w:tc>
        <w:tc>
          <w:tcPr>
            <w:tcW w:w="681" w:type="dxa"/>
            <w:tcBorders>
              <w:bottom w:val="single" w:sz="18" w:space="0" w:color="auto"/>
            </w:tcBorders>
            <w:shd w:val="clear" w:color="auto" w:fill="auto"/>
            <w:tcMar>
              <w:top w:w="100" w:type="dxa"/>
              <w:left w:w="100" w:type="dxa"/>
              <w:bottom w:w="100" w:type="dxa"/>
              <w:right w:w="100" w:type="dxa"/>
            </w:tcMar>
            <w:vAlign w:val="center"/>
          </w:tcPr>
          <w:p w14:paraId="43AE7C6E" w14:textId="4533D590" w:rsidR="00986591" w:rsidRPr="00C22AEE" w:rsidRDefault="00986591" w:rsidP="00D25422">
            <w:pPr>
              <w:widowControl w:val="0"/>
              <w:jc w:val="center"/>
              <w:rPr>
                <w:b/>
                <w:sz w:val="20"/>
                <w:szCs w:val="20"/>
              </w:rPr>
            </w:pPr>
            <w:proofErr w:type="spellStart"/>
            <w:r w:rsidRPr="00C22AEE">
              <w:rPr>
                <w:b/>
                <w:sz w:val="20"/>
                <w:szCs w:val="20"/>
              </w:rPr>
              <w:t>Amb</w:t>
            </w:r>
            <w:proofErr w:type="spellEnd"/>
          </w:p>
        </w:tc>
        <w:tc>
          <w:tcPr>
            <w:tcW w:w="719" w:type="dxa"/>
            <w:tcBorders>
              <w:bottom w:val="single" w:sz="18" w:space="0" w:color="auto"/>
            </w:tcBorders>
            <w:shd w:val="clear" w:color="auto" w:fill="auto"/>
            <w:tcMar>
              <w:top w:w="100" w:type="dxa"/>
              <w:left w:w="100" w:type="dxa"/>
              <w:bottom w:w="100" w:type="dxa"/>
              <w:right w:w="100" w:type="dxa"/>
            </w:tcMar>
            <w:vAlign w:val="center"/>
          </w:tcPr>
          <w:p w14:paraId="4910E63D" w14:textId="44A11A1A" w:rsidR="00986591" w:rsidRPr="00C22AEE" w:rsidRDefault="00986591" w:rsidP="00D25422">
            <w:pPr>
              <w:widowControl w:val="0"/>
              <w:jc w:val="center"/>
              <w:rPr>
                <w:b/>
                <w:sz w:val="20"/>
                <w:szCs w:val="20"/>
              </w:rPr>
            </w:pPr>
            <w:r w:rsidRPr="00C22AEE">
              <w:rPr>
                <w:b/>
                <w:sz w:val="20"/>
                <w:szCs w:val="20"/>
              </w:rPr>
              <w:t>High</w:t>
            </w:r>
          </w:p>
        </w:tc>
        <w:tc>
          <w:tcPr>
            <w:tcW w:w="719" w:type="dxa"/>
            <w:tcBorders>
              <w:bottom w:val="single" w:sz="18" w:space="0" w:color="auto"/>
            </w:tcBorders>
            <w:shd w:val="clear" w:color="auto" w:fill="auto"/>
            <w:tcMar>
              <w:top w:w="100" w:type="dxa"/>
              <w:left w:w="100" w:type="dxa"/>
              <w:bottom w:w="100" w:type="dxa"/>
              <w:right w:w="100" w:type="dxa"/>
            </w:tcMar>
            <w:vAlign w:val="center"/>
          </w:tcPr>
          <w:p w14:paraId="292C7E06" w14:textId="258CCB50" w:rsidR="00986591" w:rsidRPr="00C22AEE" w:rsidRDefault="00986591" w:rsidP="00D25422">
            <w:pPr>
              <w:widowControl w:val="0"/>
              <w:jc w:val="center"/>
              <w:rPr>
                <w:b/>
                <w:sz w:val="20"/>
                <w:szCs w:val="20"/>
              </w:rPr>
            </w:pPr>
            <w:r w:rsidRPr="00C22AEE">
              <w:rPr>
                <w:b/>
                <w:sz w:val="20"/>
                <w:szCs w:val="20"/>
              </w:rPr>
              <w:t>Pre</w:t>
            </w:r>
          </w:p>
        </w:tc>
        <w:tc>
          <w:tcPr>
            <w:tcW w:w="719" w:type="dxa"/>
            <w:tcBorders>
              <w:bottom w:val="single" w:sz="18" w:space="0" w:color="auto"/>
            </w:tcBorders>
            <w:shd w:val="clear" w:color="auto" w:fill="auto"/>
            <w:tcMar>
              <w:top w:w="100" w:type="dxa"/>
              <w:left w:w="100" w:type="dxa"/>
              <w:bottom w:w="100" w:type="dxa"/>
              <w:right w:w="100" w:type="dxa"/>
            </w:tcMar>
            <w:vAlign w:val="center"/>
          </w:tcPr>
          <w:p w14:paraId="2872E023" w14:textId="040AA01D" w:rsidR="00986591" w:rsidRPr="00C22AEE" w:rsidRDefault="00986591" w:rsidP="00D25422">
            <w:pPr>
              <w:widowControl w:val="0"/>
              <w:jc w:val="center"/>
              <w:rPr>
                <w:b/>
                <w:sz w:val="20"/>
                <w:szCs w:val="20"/>
                <w:vertAlign w:val="subscript"/>
              </w:rPr>
            </w:pPr>
            <w:proofErr w:type="spellStart"/>
            <w:r w:rsidRPr="00C22AEE">
              <w:rPr>
                <w:b/>
                <w:sz w:val="20"/>
                <w:szCs w:val="20"/>
              </w:rPr>
              <w:t>Amb</w:t>
            </w:r>
            <w:proofErr w:type="spellEnd"/>
          </w:p>
        </w:tc>
        <w:tc>
          <w:tcPr>
            <w:tcW w:w="719" w:type="dxa"/>
            <w:tcBorders>
              <w:bottom w:val="single" w:sz="18" w:space="0" w:color="auto"/>
            </w:tcBorders>
            <w:shd w:val="clear" w:color="auto" w:fill="auto"/>
            <w:tcMar>
              <w:top w:w="100" w:type="dxa"/>
              <w:left w:w="100" w:type="dxa"/>
              <w:bottom w:w="100" w:type="dxa"/>
              <w:right w:w="100" w:type="dxa"/>
            </w:tcMar>
            <w:vAlign w:val="center"/>
          </w:tcPr>
          <w:p w14:paraId="4F1C30AF" w14:textId="5BCC08C7" w:rsidR="00986591" w:rsidRPr="00C22AEE" w:rsidRDefault="00986591" w:rsidP="00D25422">
            <w:pPr>
              <w:widowControl w:val="0"/>
              <w:jc w:val="center"/>
              <w:rPr>
                <w:b/>
                <w:sz w:val="20"/>
                <w:szCs w:val="20"/>
              </w:rPr>
            </w:pPr>
            <w:r w:rsidRPr="00C22AEE">
              <w:rPr>
                <w:b/>
                <w:sz w:val="20"/>
                <w:szCs w:val="20"/>
              </w:rPr>
              <w:t>High</w:t>
            </w:r>
          </w:p>
        </w:tc>
      </w:tr>
      <w:tr w:rsidR="00986591" w14:paraId="1C0886B5" w14:textId="77777777" w:rsidTr="00D25422">
        <w:trPr>
          <w:trHeight w:val="80"/>
        </w:trPr>
        <w:tc>
          <w:tcPr>
            <w:tcW w:w="772" w:type="dxa"/>
            <w:tcBorders>
              <w:top w:val="nil"/>
            </w:tcBorders>
            <w:shd w:val="clear" w:color="auto" w:fill="auto"/>
            <w:vAlign w:val="center"/>
          </w:tcPr>
          <w:p w14:paraId="02243E80" w14:textId="77777777" w:rsidR="00986591" w:rsidRPr="006F0399" w:rsidRDefault="00986591" w:rsidP="00D25422">
            <w:pPr>
              <w:widowControl w:val="0"/>
              <w:jc w:val="center"/>
              <w:rPr>
                <w:b/>
                <w:sz w:val="22"/>
                <w:szCs w:val="18"/>
              </w:rPr>
            </w:pPr>
          </w:p>
        </w:tc>
        <w:tc>
          <w:tcPr>
            <w:tcW w:w="682" w:type="dxa"/>
            <w:tcBorders>
              <w:top w:val="nil"/>
              <w:bottom w:val="single" w:sz="8" w:space="0" w:color="000000"/>
              <w:right w:val="single" w:sz="18" w:space="0" w:color="auto"/>
            </w:tcBorders>
            <w:shd w:val="clear" w:color="auto" w:fill="auto"/>
            <w:tcMar>
              <w:top w:w="100" w:type="dxa"/>
              <w:left w:w="100" w:type="dxa"/>
              <w:bottom w:w="100" w:type="dxa"/>
              <w:right w:w="100" w:type="dxa"/>
            </w:tcMar>
            <w:vAlign w:val="center"/>
          </w:tcPr>
          <w:p w14:paraId="437E67E7" w14:textId="77777777" w:rsidR="00986591" w:rsidRPr="00C22AEE" w:rsidRDefault="00986591" w:rsidP="00D25422">
            <w:pPr>
              <w:widowControl w:val="0"/>
              <w:jc w:val="center"/>
              <w:rPr>
                <w:b/>
                <w:sz w:val="20"/>
                <w:szCs w:val="20"/>
              </w:rPr>
            </w:pPr>
          </w:p>
        </w:tc>
        <w:tc>
          <w:tcPr>
            <w:tcW w:w="4052" w:type="dxa"/>
            <w:gridSpan w:val="10"/>
            <w:tcBorders>
              <w:top w:val="single" w:sz="18" w:space="0" w:color="auto"/>
              <w:left w:val="single" w:sz="18" w:space="0" w:color="auto"/>
              <w:bottom w:val="single" w:sz="4" w:space="0" w:color="000000"/>
              <w:right w:val="single" w:sz="18" w:space="0" w:color="auto"/>
            </w:tcBorders>
            <w:shd w:val="clear" w:color="auto" w:fill="auto"/>
            <w:tcMar>
              <w:top w:w="100" w:type="dxa"/>
              <w:left w:w="100" w:type="dxa"/>
              <w:bottom w:w="100" w:type="dxa"/>
              <w:right w:w="100" w:type="dxa"/>
            </w:tcMar>
            <w:vAlign w:val="center"/>
          </w:tcPr>
          <w:p w14:paraId="2E176F47" w14:textId="7BA03F63" w:rsidR="00986591" w:rsidRPr="003A1842" w:rsidRDefault="00986591" w:rsidP="00D25422">
            <w:pPr>
              <w:widowControl w:val="0"/>
              <w:jc w:val="center"/>
              <w:rPr>
                <w:b/>
                <w:i/>
                <w:sz w:val="15"/>
                <w:szCs w:val="15"/>
              </w:rPr>
            </w:pPr>
            <w:r w:rsidRPr="003A1842">
              <w:rPr>
                <w:i/>
                <w:sz w:val="20"/>
                <w:szCs w:val="20"/>
              </w:rPr>
              <w:t>Sex Ratio</w:t>
            </w:r>
          </w:p>
        </w:tc>
        <w:tc>
          <w:tcPr>
            <w:tcW w:w="4227" w:type="dxa"/>
            <w:gridSpan w:val="6"/>
            <w:tcBorders>
              <w:top w:val="single" w:sz="18" w:space="0" w:color="auto"/>
              <w:left w:val="single" w:sz="18" w:space="0" w:color="auto"/>
              <w:bottom w:val="single" w:sz="4" w:space="0" w:color="000000"/>
              <w:right w:val="single" w:sz="18" w:space="0" w:color="auto"/>
            </w:tcBorders>
            <w:shd w:val="clear" w:color="auto" w:fill="auto"/>
            <w:tcMar>
              <w:top w:w="100" w:type="dxa"/>
              <w:left w:w="100" w:type="dxa"/>
              <w:bottom w:w="100" w:type="dxa"/>
              <w:right w:w="100" w:type="dxa"/>
            </w:tcMar>
            <w:vAlign w:val="center"/>
          </w:tcPr>
          <w:p w14:paraId="75B78224" w14:textId="3334123A" w:rsidR="00986591" w:rsidRPr="003A1842" w:rsidRDefault="00986591" w:rsidP="00D25422">
            <w:pPr>
              <w:widowControl w:val="0"/>
              <w:jc w:val="center"/>
              <w:rPr>
                <w:sz w:val="15"/>
                <w:szCs w:val="15"/>
              </w:rPr>
            </w:pPr>
            <w:r w:rsidRPr="003A1842">
              <w:rPr>
                <w:i/>
                <w:sz w:val="20"/>
                <w:szCs w:val="20"/>
              </w:rPr>
              <w:t>Stage of the dominant sex</w:t>
            </w:r>
          </w:p>
        </w:tc>
      </w:tr>
      <w:tr w:rsidR="00B0199F" w14:paraId="4F167085" w14:textId="77777777" w:rsidTr="00D25422">
        <w:trPr>
          <w:trHeight w:val="20"/>
        </w:trPr>
        <w:tc>
          <w:tcPr>
            <w:tcW w:w="772" w:type="dxa"/>
            <w:vMerge w:val="restart"/>
            <w:tcBorders>
              <w:right w:val="single" w:sz="8" w:space="0" w:color="000000"/>
            </w:tcBorders>
            <w:shd w:val="clear" w:color="auto" w:fill="auto"/>
            <w:vAlign w:val="center"/>
          </w:tcPr>
          <w:p w14:paraId="5373FDD7" w14:textId="60B0999C" w:rsidR="00B0199F" w:rsidRPr="006F0399" w:rsidRDefault="00B0199F" w:rsidP="00D25422">
            <w:pPr>
              <w:widowControl w:val="0"/>
              <w:jc w:val="center"/>
              <w:rPr>
                <w:b/>
                <w:sz w:val="22"/>
                <w:szCs w:val="18"/>
              </w:rPr>
            </w:pPr>
            <w:r w:rsidRPr="006F0399">
              <w:rPr>
                <w:b/>
                <w:sz w:val="22"/>
                <w:szCs w:val="18"/>
              </w:rPr>
              <w:t>6°C</w:t>
            </w:r>
          </w:p>
        </w:tc>
        <w:tc>
          <w:tcPr>
            <w:tcW w:w="682" w:type="dxa"/>
            <w:tcBorders>
              <w:bottom w:val="single" w:sz="8" w:space="0" w:color="000000"/>
              <w:right w:val="single" w:sz="18" w:space="0" w:color="auto"/>
            </w:tcBorders>
            <w:shd w:val="clear" w:color="auto" w:fill="auto"/>
            <w:tcMar>
              <w:top w:w="100" w:type="dxa"/>
              <w:left w:w="100" w:type="dxa"/>
              <w:bottom w:w="100" w:type="dxa"/>
              <w:right w:w="100" w:type="dxa"/>
            </w:tcMar>
            <w:vAlign w:val="center"/>
          </w:tcPr>
          <w:p w14:paraId="6EE86DF6" w14:textId="7C45B3A7" w:rsidR="00B0199F" w:rsidRPr="00C22AEE" w:rsidRDefault="00B0199F" w:rsidP="00D25422">
            <w:pPr>
              <w:widowControl w:val="0"/>
              <w:jc w:val="center"/>
              <w:rPr>
                <w:b/>
                <w:sz w:val="20"/>
                <w:szCs w:val="20"/>
              </w:rPr>
            </w:pPr>
            <w:r w:rsidRPr="00C22AEE">
              <w:rPr>
                <w:b/>
                <w:sz w:val="20"/>
                <w:szCs w:val="20"/>
              </w:rPr>
              <w:t>Pre</w:t>
            </w:r>
          </w:p>
        </w:tc>
        <w:tc>
          <w:tcPr>
            <w:tcW w:w="715" w:type="dxa"/>
            <w:tcBorders>
              <w:top w:val="single" w:sz="4" w:space="0" w:color="000000"/>
              <w:left w:val="single" w:sz="18" w:space="0" w:color="auto"/>
              <w:bottom w:val="single" w:sz="8" w:space="0" w:color="000000"/>
              <w:right w:val="single" w:sz="4" w:space="0" w:color="auto"/>
            </w:tcBorders>
            <w:shd w:val="clear" w:color="auto" w:fill="auto"/>
            <w:tcMar>
              <w:top w:w="100" w:type="dxa"/>
              <w:left w:w="100" w:type="dxa"/>
              <w:bottom w:w="100" w:type="dxa"/>
              <w:right w:w="100" w:type="dxa"/>
            </w:tcMar>
            <w:vAlign w:val="center"/>
          </w:tcPr>
          <w:p w14:paraId="65CF5633" w14:textId="77777777" w:rsidR="00B0199F" w:rsidRPr="003A1842" w:rsidRDefault="00B0199F" w:rsidP="00D25422">
            <w:pPr>
              <w:widowControl w:val="0"/>
              <w:jc w:val="center"/>
              <w:rPr>
                <w:sz w:val="15"/>
                <w:szCs w:val="15"/>
              </w:rPr>
            </w:pPr>
            <w:r w:rsidRPr="003A1842">
              <w:rPr>
                <w:sz w:val="15"/>
                <w:szCs w:val="15"/>
              </w:rPr>
              <w:t>-</w:t>
            </w:r>
          </w:p>
        </w:tc>
        <w:tc>
          <w:tcPr>
            <w:tcW w:w="666" w:type="dxa"/>
            <w:tcBorders>
              <w:top w:val="single" w:sz="4" w:space="0" w:color="000000"/>
              <w:left w:val="single" w:sz="4" w:space="0" w:color="auto"/>
              <w:bottom w:val="nil"/>
              <w:right w:val="nil"/>
            </w:tcBorders>
            <w:shd w:val="clear" w:color="auto" w:fill="auto"/>
            <w:tcMar>
              <w:top w:w="100" w:type="dxa"/>
              <w:left w:w="100" w:type="dxa"/>
              <w:bottom w:w="100" w:type="dxa"/>
              <w:right w:w="100" w:type="dxa"/>
            </w:tcMar>
            <w:vAlign w:val="center"/>
          </w:tcPr>
          <w:p w14:paraId="485E510A" w14:textId="77777777" w:rsidR="00B0199F" w:rsidRPr="003A1842" w:rsidRDefault="00B0199F" w:rsidP="00D25422">
            <w:pPr>
              <w:widowControl w:val="0"/>
              <w:jc w:val="center"/>
              <w:rPr>
                <w:b/>
                <w:i/>
                <w:sz w:val="15"/>
                <w:szCs w:val="15"/>
              </w:rPr>
            </w:pPr>
          </w:p>
        </w:tc>
        <w:tc>
          <w:tcPr>
            <w:tcW w:w="667" w:type="dxa"/>
            <w:gridSpan w:val="2"/>
            <w:tcBorders>
              <w:top w:val="single" w:sz="4" w:space="0" w:color="000000"/>
              <w:left w:val="nil"/>
              <w:bottom w:val="nil"/>
              <w:right w:val="nil"/>
            </w:tcBorders>
            <w:shd w:val="clear" w:color="auto" w:fill="auto"/>
            <w:vAlign w:val="center"/>
          </w:tcPr>
          <w:p w14:paraId="6557CE6A" w14:textId="77777777" w:rsidR="00B0199F" w:rsidRPr="003A1842" w:rsidRDefault="00B0199F" w:rsidP="00D25422">
            <w:pPr>
              <w:widowControl w:val="0"/>
              <w:jc w:val="center"/>
              <w:rPr>
                <w:b/>
                <w:i/>
                <w:sz w:val="15"/>
                <w:szCs w:val="15"/>
              </w:rPr>
            </w:pPr>
          </w:p>
        </w:tc>
        <w:tc>
          <w:tcPr>
            <w:tcW w:w="670" w:type="dxa"/>
            <w:gridSpan w:val="3"/>
            <w:tcBorders>
              <w:top w:val="single" w:sz="4" w:space="0" w:color="000000"/>
              <w:left w:val="nil"/>
              <w:bottom w:val="nil"/>
              <w:right w:val="nil"/>
            </w:tcBorders>
            <w:shd w:val="clear" w:color="auto" w:fill="auto"/>
            <w:vAlign w:val="center"/>
          </w:tcPr>
          <w:p w14:paraId="749693EB" w14:textId="77777777" w:rsidR="00B0199F" w:rsidRPr="003A1842" w:rsidRDefault="00B0199F" w:rsidP="00D25422">
            <w:pPr>
              <w:widowControl w:val="0"/>
              <w:jc w:val="center"/>
              <w:rPr>
                <w:b/>
                <w:i/>
                <w:sz w:val="15"/>
                <w:szCs w:val="15"/>
              </w:rPr>
            </w:pPr>
          </w:p>
        </w:tc>
        <w:tc>
          <w:tcPr>
            <w:tcW w:w="665" w:type="dxa"/>
            <w:gridSpan w:val="2"/>
            <w:tcBorders>
              <w:top w:val="single" w:sz="4" w:space="0" w:color="000000"/>
              <w:left w:val="nil"/>
              <w:bottom w:val="nil"/>
              <w:right w:val="nil"/>
            </w:tcBorders>
            <w:shd w:val="clear" w:color="auto" w:fill="auto"/>
            <w:vAlign w:val="center"/>
          </w:tcPr>
          <w:p w14:paraId="4FB58F4A" w14:textId="77777777" w:rsidR="00B0199F" w:rsidRPr="003A1842" w:rsidRDefault="00B0199F" w:rsidP="00D25422">
            <w:pPr>
              <w:widowControl w:val="0"/>
              <w:jc w:val="center"/>
              <w:rPr>
                <w:b/>
                <w:i/>
                <w:sz w:val="15"/>
                <w:szCs w:val="15"/>
              </w:rPr>
            </w:pPr>
          </w:p>
        </w:tc>
        <w:tc>
          <w:tcPr>
            <w:tcW w:w="669" w:type="dxa"/>
            <w:tcBorders>
              <w:top w:val="single" w:sz="4" w:space="0" w:color="000000"/>
              <w:left w:val="nil"/>
              <w:bottom w:val="nil"/>
              <w:right w:val="single" w:sz="18" w:space="0" w:color="auto"/>
            </w:tcBorders>
            <w:shd w:val="clear" w:color="auto" w:fill="auto"/>
            <w:vAlign w:val="center"/>
          </w:tcPr>
          <w:p w14:paraId="5E2ADF95" w14:textId="07EA7384" w:rsidR="00B0199F" w:rsidRPr="003A1842" w:rsidRDefault="00B0199F" w:rsidP="00D25422">
            <w:pPr>
              <w:widowControl w:val="0"/>
              <w:jc w:val="center"/>
              <w:rPr>
                <w:b/>
                <w:i/>
                <w:sz w:val="15"/>
                <w:szCs w:val="15"/>
              </w:rPr>
            </w:pPr>
          </w:p>
        </w:tc>
        <w:tc>
          <w:tcPr>
            <w:tcW w:w="670" w:type="dxa"/>
            <w:tcBorders>
              <w:top w:val="nil"/>
              <w:left w:val="single" w:sz="18" w:space="0" w:color="auto"/>
              <w:right w:val="single" w:sz="8" w:space="0" w:color="000000"/>
            </w:tcBorders>
            <w:shd w:val="clear" w:color="auto" w:fill="auto"/>
            <w:tcMar>
              <w:top w:w="100" w:type="dxa"/>
              <w:left w:w="100" w:type="dxa"/>
              <w:bottom w:w="100" w:type="dxa"/>
              <w:right w:w="100" w:type="dxa"/>
            </w:tcMar>
            <w:vAlign w:val="center"/>
          </w:tcPr>
          <w:p w14:paraId="27DC414B" w14:textId="77777777" w:rsidR="00B0199F" w:rsidRPr="003A1842" w:rsidRDefault="00B0199F" w:rsidP="00D25422">
            <w:pPr>
              <w:widowControl w:val="0"/>
              <w:jc w:val="center"/>
              <w:rPr>
                <w:sz w:val="15"/>
                <w:szCs w:val="15"/>
              </w:rPr>
            </w:pPr>
            <w:r w:rsidRPr="003A1842">
              <w:rPr>
                <w:sz w:val="15"/>
                <w:szCs w:val="15"/>
              </w:rPr>
              <w:t>-</w:t>
            </w:r>
          </w:p>
        </w:tc>
        <w:tc>
          <w:tcPr>
            <w:tcW w:w="681"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center"/>
          </w:tcPr>
          <w:p w14:paraId="47C198BC" w14:textId="77777777" w:rsidR="00B0199F" w:rsidRPr="003A1842" w:rsidRDefault="00B0199F" w:rsidP="00D25422">
            <w:pPr>
              <w:widowControl w:val="0"/>
              <w:jc w:val="center"/>
              <w:rPr>
                <w:b/>
                <w:sz w:val="15"/>
                <w:szCs w:val="15"/>
              </w:rPr>
            </w:pPr>
          </w:p>
        </w:tc>
        <w:tc>
          <w:tcPr>
            <w:tcW w:w="719" w:type="dxa"/>
            <w:tcBorders>
              <w:top w:val="nil"/>
              <w:left w:val="nil"/>
              <w:bottom w:val="nil"/>
              <w:right w:val="nil"/>
            </w:tcBorders>
            <w:shd w:val="clear" w:color="auto" w:fill="auto"/>
            <w:tcMar>
              <w:top w:w="100" w:type="dxa"/>
              <w:left w:w="100" w:type="dxa"/>
              <w:bottom w:w="100" w:type="dxa"/>
              <w:right w:w="100" w:type="dxa"/>
            </w:tcMar>
            <w:vAlign w:val="center"/>
          </w:tcPr>
          <w:p w14:paraId="690D50DE" w14:textId="77777777" w:rsidR="00B0199F" w:rsidRPr="003A1842" w:rsidRDefault="00B0199F" w:rsidP="00D25422">
            <w:pPr>
              <w:widowControl w:val="0"/>
              <w:jc w:val="center"/>
              <w:rPr>
                <w:b/>
                <w:sz w:val="15"/>
                <w:szCs w:val="15"/>
              </w:rPr>
            </w:pPr>
          </w:p>
        </w:tc>
        <w:tc>
          <w:tcPr>
            <w:tcW w:w="719" w:type="dxa"/>
            <w:tcBorders>
              <w:top w:val="nil"/>
              <w:left w:val="nil"/>
              <w:bottom w:val="nil"/>
              <w:right w:val="nil"/>
            </w:tcBorders>
            <w:shd w:val="clear" w:color="auto" w:fill="auto"/>
            <w:tcMar>
              <w:top w:w="100" w:type="dxa"/>
              <w:left w:w="100" w:type="dxa"/>
              <w:bottom w:w="100" w:type="dxa"/>
              <w:right w:w="100" w:type="dxa"/>
            </w:tcMar>
            <w:vAlign w:val="center"/>
          </w:tcPr>
          <w:p w14:paraId="3EE4360E" w14:textId="77777777" w:rsidR="00B0199F" w:rsidRPr="003A1842" w:rsidRDefault="00B0199F" w:rsidP="00D25422">
            <w:pPr>
              <w:widowControl w:val="0"/>
              <w:jc w:val="center"/>
              <w:rPr>
                <w:sz w:val="15"/>
                <w:szCs w:val="15"/>
              </w:rPr>
            </w:pPr>
          </w:p>
        </w:tc>
        <w:tc>
          <w:tcPr>
            <w:tcW w:w="719" w:type="dxa"/>
            <w:tcBorders>
              <w:top w:val="nil"/>
              <w:left w:val="nil"/>
              <w:bottom w:val="nil"/>
              <w:right w:val="nil"/>
            </w:tcBorders>
            <w:shd w:val="clear" w:color="auto" w:fill="auto"/>
            <w:tcMar>
              <w:top w:w="100" w:type="dxa"/>
              <w:left w:w="100" w:type="dxa"/>
              <w:bottom w:w="100" w:type="dxa"/>
              <w:right w:w="100" w:type="dxa"/>
            </w:tcMar>
            <w:vAlign w:val="center"/>
          </w:tcPr>
          <w:p w14:paraId="53FA9605" w14:textId="77777777" w:rsidR="00B0199F" w:rsidRPr="003A1842" w:rsidRDefault="00B0199F" w:rsidP="00D25422">
            <w:pPr>
              <w:widowControl w:val="0"/>
              <w:jc w:val="center"/>
              <w:rPr>
                <w:sz w:val="15"/>
                <w:szCs w:val="15"/>
              </w:rPr>
            </w:pPr>
          </w:p>
        </w:tc>
        <w:tc>
          <w:tcPr>
            <w:tcW w:w="719" w:type="dxa"/>
            <w:tcBorders>
              <w:top w:val="nil"/>
              <w:left w:val="nil"/>
              <w:bottom w:val="nil"/>
              <w:right w:val="single" w:sz="18" w:space="0" w:color="auto"/>
            </w:tcBorders>
            <w:shd w:val="clear" w:color="auto" w:fill="auto"/>
            <w:tcMar>
              <w:top w:w="100" w:type="dxa"/>
              <w:left w:w="100" w:type="dxa"/>
              <w:bottom w:w="100" w:type="dxa"/>
              <w:right w:w="100" w:type="dxa"/>
            </w:tcMar>
            <w:vAlign w:val="center"/>
          </w:tcPr>
          <w:p w14:paraId="4F5A1CFA" w14:textId="77777777" w:rsidR="00B0199F" w:rsidRPr="003A1842" w:rsidRDefault="00B0199F" w:rsidP="00D25422">
            <w:pPr>
              <w:widowControl w:val="0"/>
              <w:jc w:val="center"/>
              <w:rPr>
                <w:sz w:val="15"/>
                <w:szCs w:val="15"/>
              </w:rPr>
            </w:pPr>
          </w:p>
        </w:tc>
      </w:tr>
      <w:tr w:rsidR="00B0199F" w14:paraId="49ABEFBC" w14:textId="77777777" w:rsidTr="00D25422">
        <w:trPr>
          <w:trHeight w:val="20"/>
        </w:trPr>
        <w:tc>
          <w:tcPr>
            <w:tcW w:w="772" w:type="dxa"/>
            <w:vMerge/>
            <w:tcBorders>
              <w:right w:val="single" w:sz="8" w:space="0" w:color="000000"/>
            </w:tcBorders>
            <w:shd w:val="clear" w:color="auto" w:fill="auto"/>
            <w:vAlign w:val="center"/>
          </w:tcPr>
          <w:p w14:paraId="18A5A86C" w14:textId="77777777" w:rsidR="00B0199F" w:rsidRPr="006F0399" w:rsidRDefault="00B0199F" w:rsidP="00D25422">
            <w:pPr>
              <w:widowControl w:val="0"/>
              <w:jc w:val="center"/>
              <w:rPr>
                <w:b/>
                <w:sz w:val="22"/>
                <w:szCs w:val="18"/>
              </w:rPr>
            </w:pPr>
          </w:p>
        </w:tc>
        <w:tc>
          <w:tcPr>
            <w:tcW w:w="682" w:type="dxa"/>
            <w:tcBorders>
              <w:top w:val="single" w:sz="8" w:space="0" w:color="000000"/>
              <w:bottom w:val="single" w:sz="8" w:space="0" w:color="000000"/>
              <w:right w:val="single" w:sz="18" w:space="0" w:color="auto"/>
            </w:tcBorders>
            <w:shd w:val="clear" w:color="auto" w:fill="auto"/>
            <w:tcMar>
              <w:top w:w="100" w:type="dxa"/>
              <w:left w:w="100" w:type="dxa"/>
              <w:bottom w:w="100" w:type="dxa"/>
              <w:right w:w="100" w:type="dxa"/>
            </w:tcMar>
            <w:vAlign w:val="center"/>
          </w:tcPr>
          <w:p w14:paraId="0F0D3048" w14:textId="33B43F50" w:rsidR="00B0199F" w:rsidRPr="00C22AEE" w:rsidRDefault="00B0199F" w:rsidP="00D25422">
            <w:pPr>
              <w:widowControl w:val="0"/>
              <w:jc w:val="center"/>
              <w:rPr>
                <w:b/>
                <w:sz w:val="20"/>
                <w:szCs w:val="20"/>
              </w:rPr>
            </w:pPr>
            <w:proofErr w:type="spellStart"/>
            <w:r w:rsidRPr="00C22AEE">
              <w:rPr>
                <w:b/>
                <w:sz w:val="20"/>
                <w:szCs w:val="20"/>
              </w:rPr>
              <w:t>Amb</w:t>
            </w:r>
            <w:proofErr w:type="spellEnd"/>
          </w:p>
        </w:tc>
        <w:tc>
          <w:tcPr>
            <w:tcW w:w="715" w:type="dxa"/>
            <w:tcBorders>
              <w:top w:val="single" w:sz="8" w:space="0" w:color="000000"/>
              <w:left w:val="single" w:sz="18" w:space="0" w:color="auto"/>
              <w:bottom w:val="single" w:sz="8" w:space="0" w:color="000000"/>
              <w:right w:val="single" w:sz="4" w:space="0" w:color="auto"/>
            </w:tcBorders>
            <w:shd w:val="clear" w:color="auto" w:fill="auto"/>
            <w:tcMar>
              <w:top w:w="100" w:type="dxa"/>
              <w:left w:w="100" w:type="dxa"/>
              <w:bottom w:w="100" w:type="dxa"/>
              <w:right w:w="100" w:type="dxa"/>
            </w:tcMar>
            <w:vAlign w:val="center"/>
          </w:tcPr>
          <w:p w14:paraId="4DAFC9E5" w14:textId="6266C979" w:rsidR="00B0199F" w:rsidRPr="003A1842" w:rsidRDefault="00B0199F" w:rsidP="00D25422">
            <w:pPr>
              <w:widowControl w:val="0"/>
              <w:jc w:val="center"/>
              <w:rPr>
                <w:sz w:val="15"/>
                <w:szCs w:val="15"/>
              </w:rPr>
            </w:pPr>
            <w:r w:rsidRPr="003A1842">
              <w:rPr>
                <w:sz w:val="15"/>
                <w:szCs w:val="15"/>
              </w:rPr>
              <w:t>0.8 (0.93)</w:t>
            </w:r>
          </w:p>
        </w:tc>
        <w:tc>
          <w:tcPr>
            <w:tcW w:w="677" w:type="dxa"/>
            <w:gridSpan w:val="2"/>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6BE1229E" w14:textId="77777777" w:rsidR="00B0199F" w:rsidRPr="003A1842" w:rsidRDefault="00B0199F" w:rsidP="00D25422">
            <w:pPr>
              <w:widowControl w:val="0"/>
              <w:jc w:val="center"/>
              <w:rPr>
                <w:sz w:val="15"/>
                <w:szCs w:val="15"/>
              </w:rPr>
            </w:pPr>
            <w:r w:rsidRPr="003A1842">
              <w:rPr>
                <w:sz w:val="15"/>
                <w:szCs w:val="15"/>
              </w:rPr>
              <w:t>-</w:t>
            </w:r>
          </w:p>
        </w:tc>
        <w:tc>
          <w:tcPr>
            <w:tcW w:w="675" w:type="dxa"/>
            <w:gridSpan w:val="3"/>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center"/>
          </w:tcPr>
          <w:p w14:paraId="36F9EBBA" w14:textId="77777777" w:rsidR="00B0199F" w:rsidRPr="003A1842" w:rsidRDefault="00B0199F" w:rsidP="00D25422">
            <w:pPr>
              <w:widowControl w:val="0"/>
              <w:jc w:val="center"/>
              <w:rPr>
                <w:sz w:val="15"/>
                <w:szCs w:val="15"/>
              </w:rPr>
            </w:pPr>
          </w:p>
        </w:tc>
        <w:tc>
          <w:tcPr>
            <w:tcW w:w="659" w:type="dxa"/>
            <w:gridSpan w:val="2"/>
            <w:tcBorders>
              <w:top w:val="nil"/>
              <w:left w:val="nil"/>
              <w:bottom w:val="nil"/>
              <w:right w:val="nil"/>
            </w:tcBorders>
            <w:shd w:val="clear" w:color="auto" w:fill="auto"/>
            <w:tcMar>
              <w:top w:w="100" w:type="dxa"/>
              <w:left w:w="100" w:type="dxa"/>
              <w:bottom w:w="100" w:type="dxa"/>
              <w:right w:w="100" w:type="dxa"/>
            </w:tcMar>
            <w:vAlign w:val="center"/>
          </w:tcPr>
          <w:p w14:paraId="6360AEA1" w14:textId="77777777" w:rsidR="00B0199F" w:rsidRPr="003A1842" w:rsidRDefault="00B0199F" w:rsidP="00D25422">
            <w:pPr>
              <w:widowControl w:val="0"/>
              <w:jc w:val="center"/>
              <w:rPr>
                <w:sz w:val="20"/>
                <w:szCs w:val="20"/>
              </w:rPr>
            </w:pPr>
          </w:p>
        </w:tc>
        <w:tc>
          <w:tcPr>
            <w:tcW w:w="662" w:type="dxa"/>
            <w:tcBorders>
              <w:top w:val="nil"/>
              <w:left w:val="nil"/>
              <w:bottom w:val="nil"/>
              <w:right w:val="nil"/>
            </w:tcBorders>
            <w:shd w:val="clear" w:color="auto" w:fill="auto"/>
            <w:vAlign w:val="center"/>
          </w:tcPr>
          <w:p w14:paraId="0F183B45" w14:textId="77777777" w:rsidR="00B0199F" w:rsidRPr="003A1842" w:rsidRDefault="00B0199F" w:rsidP="00D25422">
            <w:pPr>
              <w:widowControl w:val="0"/>
              <w:jc w:val="center"/>
              <w:rPr>
                <w:sz w:val="20"/>
                <w:szCs w:val="20"/>
              </w:rPr>
            </w:pPr>
          </w:p>
        </w:tc>
        <w:tc>
          <w:tcPr>
            <w:tcW w:w="664" w:type="dxa"/>
            <w:tcBorders>
              <w:top w:val="nil"/>
              <w:left w:val="nil"/>
              <w:bottom w:val="nil"/>
              <w:right w:val="single" w:sz="18" w:space="0" w:color="auto"/>
            </w:tcBorders>
            <w:shd w:val="clear" w:color="auto" w:fill="auto"/>
            <w:vAlign w:val="center"/>
          </w:tcPr>
          <w:p w14:paraId="2CD520CE" w14:textId="7E14146E" w:rsidR="00B0199F" w:rsidRPr="003A1842" w:rsidRDefault="00B0199F" w:rsidP="00D25422">
            <w:pPr>
              <w:widowControl w:val="0"/>
              <w:jc w:val="center"/>
              <w:rPr>
                <w:sz w:val="20"/>
                <w:szCs w:val="20"/>
              </w:rPr>
            </w:pPr>
          </w:p>
        </w:tc>
        <w:tc>
          <w:tcPr>
            <w:tcW w:w="670" w:type="dxa"/>
            <w:tcBorders>
              <w:left w:val="single" w:sz="18" w:space="0" w:color="auto"/>
            </w:tcBorders>
            <w:shd w:val="clear" w:color="auto" w:fill="auto"/>
            <w:tcMar>
              <w:top w:w="100" w:type="dxa"/>
              <w:left w:w="100" w:type="dxa"/>
              <w:bottom w:w="100" w:type="dxa"/>
              <w:right w:w="100" w:type="dxa"/>
            </w:tcMar>
            <w:vAlign w:val="center"/>
          </w:tcPr>
          <w:p w14:paraId="5E4F9011" w14:textId="51D675A8" w:rsidR="00B0199F" w:rsidRPr="00457E21" w:rsidRDefault="00B0199F" w:rsidP="00D25422">
            <w:pPr>
              <w:widowControl w:val="0"/>
              <w:jc w:val="center"/>
              <w:rPr>
                <w:b/>
                <w:sz w:val="15"/>
                <w:szCs w:val="15"/>
              </w:rPr>
            </w:pPr>
            <w:r w:rsidRPr="00457E21">
              <w:rPr>
                <w:b/>
                <w:sz w:val="15"/>
                <w:szCs w:val="15"/>
              </w:rPr>
              <w:t>*16.5 (0.013)</w:t>
            </w:r>
          </w:p>
        </w:tc>
        <w:tc>
          <w:tcPr>
            <w:tcW w:w="681" w:type="dxa"/>
            <w:tcBorders>
              <w:right w:val="single" w:sz="8" w:space="0" w:color="000000"/>
            </w:tcBorders>
            <w:shd w:val="clear" w:color="auto" w:fill="auto"/>
            <w:tcMar>
              <w:top w:w="100" w:type="dxa"/>
              <w:left w:w="100" w:type="dxa"/>
              <w:bottom w:w="100" w:type="dxa"/>
              <w:right w:w="100" w:type="dxa"/>
            </w:tcMar>
            <w:vAlign w:val="center"/>
          </w:tcPr>
          <w:p w14:paraId="2D56D45D" w14:textId="77777777" w:rsidR="00B0199F" w:rsidRPr="003A1842" w:rsidRDefault="00B0199F" w:rsidP="00D25422">
            <w:pPr>
              <w:widowControl w:val="0"/>
              <w:jc w:val="center"/>
              <w:rPr>
                <w:sz w:val="15"/>
                <w:szCs w:val="15"/>
              </w:rPr>
            </w:pPr>
            <w:r w:rsidRPr="003A1842">
              <w:rPr>
                <w:sz w:val="15"/>
                <w:szCs w:val="15"/>
              </w:rPr>
              <w:t>-</w:t>
            </w:r>
          </w:p>
        </w:tc>
        <w:tc>
          <w:tcPr>
            <w:tcW w:w="719" w:type="dxa"/>
            <w:tcBorders>
              <w:top w:val="nil"/>
              <w:left w:val="single" w:sz="8" w:space="0" w:color="000000"/>
              <w:bottom w:val="nil"/>
              <w:right w:val="nil"/>
            </w:tcBorders>
            <w:shd w:val="clear" w:color="auto" w:fill="auto"/>
            <w:tcMar>
              <w:top w:w="100" w:type="dxa"/>
              <w:left w:w="100" w:type="dxa"/>
              <w:bottom w:w="100" w:type="dxa"/>
              <w:right w:w="100" w:type="dxa"/>
            </w:tcMar>
            <w:vAlign w:val="center"/>
          </w:tcPr>
          <w:p w14:paraId="39075D25" w14:textId="77777777" w:rsidR="00B0199F" w:rsidRPr="003A1842" w:rsidRDefault="00B0199F" w:rsidP="00D25422">
            <w:pPr>
              <w:widowControl w:val="0"/>
              <w:jc w:val="center"/>
              <w:rPr>
                <w:sz w:val="20"/>
                <w:szCs w:val="20"/>
              </w:rPr>
            </w:pPr>
          </w:p>
        </w:tc>
        <w:tc>
          <w:tcPr>
            <w:tcW w:w="719" w:type="dxa"/>
            <w:tcBorders>
              <w:top w:val="nil"/>
              <w:left w:val="nil"/>
              <w:bottom w:val="nil"/>
              <w:right w:val="nil"/>
            </w:tcBorders>
            <w:shd w:val="clear" w:color="auto" w:fill="auto"/>
            <w:vAlign w:val="center"/>
          </w:tcPr>
          <w:p w14:paraId="6A8D1660" w14:textId="77777777" w:rsidR="00B0199F" w:rsidRPr="003A1842" w:rsidRDefault="00B0199F" w:rsidP="00D25422">
            <w:pPr>
              <w:widowControl w:val="0"/>
              <w:jc w:val="center"/>
              <w:rPr>
                <w:sz w:val="20"/>
                <w:szCs w:val="20"/>
              </w:rPr>
            </w:pPr>
          </w:p>
        </w:tc>
        <w:tc>
          <w:tcPr>
            <w:tcW w:w="719" w:type="dxa"/>
            <w:tcBorders>
              <w:top w:val="nil"/>
              <w:left w:val="nil"/>
              <w:bottom w:val="nil"/>
              <w:right w:val="nil"/>
            </w:tcBorders>
            <w:shd w:val="clear" w:color="auto" w:fill="auto"/>
            <w:vAlign w:val="center"/>
          </w:tcPr>
          <w:p w14:paraId="41A05B15" w14:textId="77777777" w:rsidR="00B0199F" w:rsidRPr="003A1842" w:rsidRDefault="00B0199F" w:rsidP="00D25422">
            <w:pPr>
              <w:widowControl w:val="0"/>
              <w:jc w:val="center"/>
              <w:rPr>
                <w:sz w:val="20"/>
                <w:szCs w:val="20"/>
              </w:rPr>
            </w:pPr>
          </w:p>
        </w:tc>
        <w:tc>
          <w:tcPr>
            <w:tcW w:w="719" w:type="dxa"/>
            <w:tcBorders>
              <w:top w:val="nil"/>
              <w:left w:val="nil"/>
              <w:bottom w:val="nil"/>
              <w:right w:val="single" w:sz="18" w:space="0" w:color="auto"/>
            </w:tcBorders>
            <w:shd w:val="clear" w:color="auto" w:fill="auto"/>
            <w:vAlign w:val="center"/>
          </w:tcPr>
          <w:p w14:paraId="771DB4BF" w14:textId="4D405B9C" w:rsidR="00B0199F" w:rsidRPr="003A1842" w:rsidRDefault="00B0199F" w:rsidP="00D25422">
            <w:pPr>
              <w:widowControl w:val="0"/>
              <w:jc w:val="center"/>
              <w:rPr>
                <w:sz w:val="20"/>
                <w:szCs w:val="20"/>
              </w:rPr>
            </w:pPr>
          </w:p>
        </w:tc>
      </w:tr>
      <w:tr w:rsidR="00B0199F" w14:paraId="06D95D3A" w14:textId="77777777" w:rsidTr="00D25422">
        <w:trPr>
          <w:trHeight w:val="20"/>
        </w:trPr>
        <w:tc>
          <w:tcPr>
            <w:tcW w:w="772" w:type="dxa"/>
            <w:vMerge/>
            <w:tcBorders>
              <w:bottom w:val="single" w:sz="8" w:space="0" w:color="000000"/>
              <w:right w:val="single" w:sz="8" w:space="0" w:color="000000"/>
            </w:tcBorders>
            <w:shd w:val="clear" w:color="auto" w:fill="auto"/>
            <w:vAlign w:val="center"/>
          </w:tcPr>
          <w:p w14:paraId="3DDDB332" w14:textId="77777777" w:rsidR="00B0199F" w:rsidRPr="006F0399" w:rsidRDefault="00B0199F" w:rsidP="00D25422">
            <w:pPr>
              <w:widowControl w:val="0"/>
              <w:jc w:val="center"/>
              <w:rPr>
                <w:b/>
                <w:sz w:val="22"/>
                <w:szCs w:val="18"/>
              </w:rPr>
            </w:pPr>
          </w:p>
        </w:tc>
        <w:tc>
          <w:tcPr>
            <w:tcW w:w="682" w:type="dxa"/>
            <w:tcBorders>
              <w:top w:val="single" w:sz="8" w:space="0" w:color="000000"/>
              <w:bottom w:val="single" w:sz="8" w:space="0" w:color="000000"/>
              <w:right w:val="single" w:sz="18" w:space="0" w:color="auto"/>
            </w:tcBorders>
            <w:shd w:val="clear" w:color="auto" w:fill="auto"/>
            <w:tcMar>
              <w:top w:w="100" w:type="dxa"/>
              <w:left w:w="100" w:type="dxa"/>
              <w:bottom w:w="100" w:type="dxa"/>
              <w:right w:w="100" w:type="dxa"/>
            </w:tcMar>
            <w:vAlign w:val="center"/>
          </w:tcPr>
          <w:p w14:paraId="2654FC26" w14:textId="4B94EC09" w:rsidR="00B0199F" w:rsidRPr="00C22AEE" w:rsidRDefault="00B0199F" w:rsidP="00D25422">
            <w:pPr>
              <w:widowControl w:val="0"/>
              <w:jc w:val="center"/>
              <w:rPr>
                <w:b/>
                <w:sz w:val="20"/>
                <w:szCs w:val="20"/>
              </w:rPr>
            </w:pPr>
            <w:r w:rsidRPr="00C22AEE">
              <w:rPr>
                <w:b/>
                <w:sz w:val="20"/>
                <w:szCs w:val="20"/>
              </w:rPr>
              <w:t>High</w:t>
            </w:r>
          </w:p>
        </w:tc>
        <w:tc>
          <w:tcPr>
            <w:tcW w:w="715" w:type="dxa"/>
            <w:tcBorders>
              <w:top w:val="single" w:sz="8" w:space="0" w:color="000000"/>
              <w:left w:val="single" w:sz="18" w:space="0" w:color="auto"/>
              <w:bottom w:val="single" w:sz="8" w:space="0" w:color="000000"/>
              <w:right w:val="single" w:sz="4" w:space="0" w:color="auto"/>
            </w:tcBorders>
            <w:shd w:val="clear" w:color="auto" w:fill="auto"/>
            <w:tcMar>
              <w:top w:w="100" w:type="dxa"/>
              <w:left w:w="100" w:type="dxa"/>
              <w:bottom w:w="100" w:type="dxa"/>
              <w:right w:w="100" w:type="dxa"/>
            </w:tcMar>
            <w:vAlign w:val="center"/>
          </w:tcPr>
          <w:p w14:paraId="255A1399" w14:textId="3E9EB87A" w:rsidR="00B0199F" w:rsidRPr="003A1842" w:rsidRDefault="00B0199F" w:rsidP="00D25422">
            <w:pPr>
              <w:widowControl w:val="0"/>
              <w:jc w:val="center"/>
              <w:rPr>
                <w:sz w:val="15"/>
                <w:szCs w:val="15"/>
              </w:rPr>
            </w:pPr>
            <w:r w:rsidRPr="003A1842">
              <w:rPr>
                <w:sz w:val="15"/>
                <w:szCs w:val="15"/>
              </w:rPr>
              <w:t>4.6 (0.34)</w:t>
            </w:r>
          </w:p>
        </w:tc>
        <w:tc>
          <w:tcPr>
            <w:tcW w:w="677" w:type="dxa"/>
            <w:gridSpan w:val="2"/>
            <w:tcBorders>
              <w:top w:val="single" w:sz="8" w:space="0" w:color="000000"/>
              <w:left w:val="single" w:sz="4" w:space="0" w:color="auto"/>
              <w:bottom w:val="single" w:sz="8" w:space="0" w:color="000000"/>
            </w:tcBorders>
            <w:shd w:val="clear" w:color="auto" w:fill="auto"/>
            <w:tcMar>
              <w:top w:w="100" w:type="dxa"/>
              <w:left w:w="100" w:type="dxa"/>
              <w:bottom w:w="100" w:type="dxa"/>
              <w:right w:w="100" w:type="dxa"/>
            </w:tcMar>
            <w:vAlign w:val="center"/>
          </w:tcPr>
          <w:p w14:paraId="0BAEAD9A" w14:textId="4997DD0F" w:rsidR="00B0199F" w:rsidRPr="003A1842" w:rsidRDefault="00B0199F" w:rsidP="00D25422">
            <w:pPr>
              <w:widowControl w:val="0"/>
              <w:jc w:val="center"/>
              <w:rPr>
                <w:sz w:val="15"/>
                <w:szCs w:val="15"/>
              </w:rPr>
            </w:pPr>
            <w:r w:rsidRPr="003A1842">
              <w:rPr>
                <w:sz w:val="15"/>
                <w:szCs w:val="15"/>
              </w:rPr>
              <w:t>5.4 (0.29)</w:t>
            </w:r>
          </w:p>
        </w:tc>
        <w:tc>
          <w:tcPr>
            <w:tcW w:w="67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469854" w14:textId="77777777" w:rsidR="00B0199F" w:rsidRPr="003A1842" w:rsidRDefault="00B0199F" w:rsidP="00D25422">
            <w:pPr>
              <w:widowControl w:val="0"/>
              <w:jc w:val="center"/>
              <w:rPr>
                <w:sz w:val="15"/>
                <w:szCs w:val="15"/>
              </w:rPr>
            </w:pPr>
            <w:r w:rsidRPr="003A1842">
              <w:rPr>
                <w:sz w:val="15"/>
                <w:szCs w:val="15"/>
              </w:rPr>
              <w:t>-</w:t>
            </w:r>
          </w:p>
        </w:tc>
        <w:tc>
          <w:tcPr>
            <w:tcW w:w="659" w:type="dxa"/>
            <w:gridSpan w:val="2"/>
            <w:tcBorders>
              <w:top w:val="nil"/>
              <w:left w:val="single" w:sz="8" w:space="0" w:color="000000"/>
              <w:bottom w:val="nil"/>
              <w:right w:val="nil"/>
            </w:tcBorders>
            <w:shd w:val="clear" w:color="auto" w:fill="auto"/>
            <w:tcMar>
              <w:top w:w="100" w:type="dxa"/>
              <w:left w:w="100" w:type="dxa"/>
              <w:bottom w:w="100" w:type="dxa"/>
              <w:right w:w="100" w:type="dxa"/>
            </w:tcMar>
            <w:vAlign w:val="center"/>
          </w:tcPr>
          <w:p w14:paraId="09ED9701" w14:textId="77777777" w:rsidR="00B0199F" w:rsidRPr="003A1842" w:rsidRDefault="00B0199F" w:rsidP="00D25422">
            <w:pPr>
              <w:widowControl w:val="0"/>
              <w:jc w:val="center"/>
              <w:rPr>
                <w:sz w:val="15"/>
                <w:szCs w:val="15"/>
              </w:rPr>
            </w:pPr>
          </w:p>
        </w:tc>
        <w:tc>
          <w:tcPr>
            <w:tcW w:w="662" w:type="dxa"/>
            <w:tcBorders>
              <w:top w:val="nil"/>
              <w:left w:val="nil"/>
              <w:bottom w:val="nil"/>
              <w:right w:val="nil"/>
            </w:tcBorders>
            <w:shd w:val="clear" w:color="auto" w:fill="auto"/>
            <w:vAlign w:val="center"/>
          </w:tcPr>
          <w:p w14:paraId="7AC6AF11" w14:textId="77777777" w:rsidR="00B0199F" w:rsidRPr="003A1842" w:rsidRDefault="00B0199F" w:rsidP="00D25422">
            <w:pPr>
              <w:widowControl w:val="0"/>
              <w:jc w:val="center"/>
              <w:rPr>
                <w:sz w:val="15"/>
                <w:szCs w:val="15"/>
              </w:rPr>
            </w:pPr>
          </w:p>
        </w:tc>
        <w:tc>
          <w:tcPr>
            <w:tcW w:w="664" w:type="dxa"/>
            <w:tcBorders>
              <w:top w:val="nil"/>
              <w:left w:val="nil"/>
              <w:bottom w:val="nil"/>
              <w:right w:val="single" w:sz="18" w:space="0" w:color="auto"/>
            </w:tcBorders>
            <w:shd w:val="clear" w:color="auto" w:fill="auto"/>
            <w:vAlign w:val="center"/>
          </w:tcPr>
          <w:p w14:paraId="7A4EAEDF" w14:textId="11A88B1D" w:rsidR="00B0199F" w:rsidRPr="003A1842" w:rsidRDefault="00B0199F" w:rsidP="00D25422">
            <w:pPr>
              <w:widowControl w:val="0"/>
              <w:jc w:val="center"/>
              <w:rPr>
                <w:sz w:val="15"/>
                <w:szCs w:val="15"/>
              </w:rPr>
            </w:pPr>
          </w:p>
        </w:tc>
        <w:tc>
          <w:tcPr>
            <w:tcW w:w="670" w:type="dxa"/>
            <w:tcBorders>
              <w:top w:val="nil"/>
              <w:left w:val="single" w:sz="18" w:space="0" w:color="auto"/>
            </w:tcBorders>
            <w:shd w:val="clear" w:color="auto" w:fill="auto"/>
            <w:tcMar>
              <w:top w:w="100" w:type="dxa"/>
              <w:left w:w="100" w:type="dxa"/>
              <w:bottom w:w="100" w:type="dxa"/>
              <w:right w:w="100" w:type="dxa"/>
            </w:tcMar>
            <w:vAlign w:val="center"/>
          </w:tcPr>
          <w:p w14:paraId="4CB4E7E3" w14:textId="6AFC3B16" w:rsidR="00B0199F" w:rsidRPr="00931795" w:rsidRDefault="00B0199F" w:rsidP="00D25422">
            <w:pPr>
              <w:widowControl w:val="0"/>
              <w:jc w:val="center"/>
              <w:rPr>
                <w:sz w:val="15"/>
                <w:szCs w:val="15"/>
              </w:rPr>
            </w:pPr>
            <w:r w:rsidRPr="00931795">
              <w:rPr>
                <w:sz w:val="15"/>
                <w:szCs w:val="15"/>
              </w:rPr>
              <w:t>4.6 (0.48)</w:t>
            </w:r>
          </w:p>
        </w:tc>
        <w:tc>
          <w:tcPr>
            <w:tcW w:w="681" w:type="dxa"/>
            <w:tcBorders>
              <w:top w:val="nil"/>
            </w:tcBorders>
            <w:shd w:val="clear" w:color="auto" w:fill="auto"/>
            <w:tcMar>
              <w:top w:w="100" w:type="dxa"/>
              <w:left w:w="100" w:type="dxa"/>
              <w:bottom w:w="100" w:type="dxa"/>
              <w:right w:w="100" w:type="dxa"/>
            </w:tcMar>
            <w:vAlign w:val="center"/>
          </w:tcPr>
          <w:p w14:paraId="5330BEE3" w14:textId="7A40F9EC" w:rsidR="00B0199F" w:rsidRPr="003A1842" w:rsidRDefault="00B0199F" w:rsidP="00D25422">
            <w:pPr>
              <w:widowControl w:val="0"/>
              <w:jc w:val="center"/>
              <w:rPr>
                <w:sz w:val="15"/>
                <w:szCs w:val="15"/>
              </w:rPr>
            </w:pPr>
            <w:r w:rsidRPr="003A1842">
              <w:rPr>
                <w:sz w:val="15"/>
                <w:szCs w:val="15"/>
              </w:rPr>
              <w:t>9.7 (0.090</w:t>
            </w:r>
          </w:p>
        </w:tc>
        <w:tc>
          <w:tcPr>
            <w:tcW w:w="719" w:type="dxa"/>
            <w:tcBorders>
              <w:top w:val="single" w:sz="8" w:space="0" w:color="000000"/>
              <w:right w:val="single" w:sz="8" w:space="0" w:color="000000"/>
            </w:tcBorders>
            <w:shd w:val="clear" w:color="auto" w:fill="auto"/>
            <w:tcMar>
              <w:top w:w="100" w:type="dxa"/>
              <w:left w:w="100" w:type="dxa"/>
              <w:bottom w:w="100" w:type="dxa"/>
              <w:right w:w="100" w:type="dxa"/>
            </w:tcMar>
            <w:vAlign w:val="center"/>
          </w:tcPr>
          <w:p w14:paraId="1017F8FD" w14:textId="77777777" w:rsidR="00B0199F" w:rsidRPr="003A1842" w:rsidRDefault="00B0199F" w:rsidP="00D25422">
            <w:pPr>
              <w:widowControl w:val="0"/>
              <w:jc w:val="center"/>
              <w:rPr>
                <w:sz w:val="15"/>
                <w:szCs w:val="15"/>
              </w:rPr>
            </w:pPr>
            <w:r w:rsidRPr="003A1842">
              <w:rPr>
                <w:sz w:val="15"/>
                <w:szCs w:val="15"/>
              </w:rPr>
              <w:t>-</w:t>
            </w:r>
          </w:p>
        </w:tc>
        <w:tc>
          <w:tcPr>
            <w:tcW w:w="71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center"/>
          </w:tcPr>
          <w:p w14:paraId="02B7B251" w14:textId="77777777" w:rsidR="00B0199F" w:rsidRPr="003A1842" w:rsidRDefault="00B0199F" w:rsidP="00D25422">
            <w:pPr>
              <w:widowControl w:val="0"/>
              <w:jc w:val="center"/>
              <w:rPr>
                <w:sz w:val="15"/>
                <w:szCs w:val="15"/>
              </w:rPr>
            </w:pPr>
          </w:p>
        </w:tc>
        <w:tc>
          <w:tcPr>
            <w:tcW w:w="719" w:type="dxa"/>
            <w:tcBorders>
              <w:top w:val="nil"/>
              <w:left w:val="nil"/>
              <w:bottom w:val="nil"/>
              <w:right w:val="nil"/>
            </w:tcBorders>
            <w:shd w:val="clear" w:color="auto" w:fill="auto"/>
            <w:tcMar>
              <w:top w:w="100" w:type="dxa"/>
              <w:left w:w="100" w:type="dxa"/>
              <w:bottom w:w="100" w:type="dxa"/>
              <w:right w:w="100" w:type="dxa"/>
            </w:tcMar>
            <w:vAlign w:val="center"/>
          </w:tcPr>
          <w:p w14:paraId="5C408DF0" w14:textId="77777777" w:rsidR="00B0199F" w:rsidRPr="003A1842" w:rsidRDefault="00B0199F" w:rsidP="00D25422">
            <w:pPr>
              <w:widowControl w:val="0"/>
              <w:jc w:val="center"/>
              <w:rPr>
                <w:sz w:val="15"/>
                <w:szCs w:val="15"/>
              </w:rPr>
            </w:pPr>
          </w:p>
        </w:tc>
        <w:tc>
          <w:tcPr>
            <w:tcW w:w="719" w:type="dxa"/>
            <w:tcBorders>
              <w:top w:val="nil"/>
              <w:left w:val="nil"/>
              <w:bottom w:val="nil"/>
              <w:right w:val="single" w:sz="18" w:space="0" w:color="auto"/>
            </w:tcBorders>
            <w:shd w:val="clear" w:color="auto" w:fill="auto"/>
            <w:tcMar>
              <w:top w:w="100" w:type="dxa"/>
              <w:left w:w="100" w:type="dxa"/>
              <w:bottom w:w="100" w:type="dxa"/>
              <w:right w:w="100" w:type="dxa"/>
            </w:tcMar>
            <w:vAlign w:val="center"/>
          </w:tcPr>
          <w:p w14:paraId="33921917" w14:textId="77777777" w:rsidR="00B0199F" w:rsidRPr="003A1842" w:rsidRDefault="00B0199F" w:rsidP="00D25422">
            <w:pPr>
              <w:widowControl w:val="0"/>
              <w:jc w:val="center"/>
              <w:rPr>
                <w:sz w:val="15"/>
                <w:szCs w:val="15"/>
              </w:rPr>
            </w:pPr>
          </w:p>
        </w:tc>
      </w:tr>
      <w:tr w:rsidR="00E26164" w14:paraId="3185E73B" w14:textId="77777777" w:rsidTr="00D25422">
        <w:trPr>
          <w:trHeight w:val="20"/>
        </w:trPr>
        <w:tc>
          <w:tcPr>
            <w:tcW w:w="772" w:type="dxa"/>
            <w:vMerge w:val="restart"/>
            <w:tcBorders>
              <w:top w:val="single" w:sz="8" w:space="0" w:color="000000"/>
              <w:right w:val="single" w:sz="8" w:space="0" w:color="000000"/>
            </w:tcBorders>
            <w:shd w:val="clear" w:color="auto" w:fill="auto"/>
            <w:vAlign w:val="center"/>
          </w:tcPr>
          <w:p w14:paraId="40E7FB7F" w14:textId="005CF682" w:rsidR="00E26164" w:rsidRPr="006F0399" w:rsidRDefault="00E26164" w:rsidP="00D25422">
            <w:pPr>
              <w:widowControl w:val="0"/>
              <w:jc w:val="center"/>
              <w:rPr>
                <w:b/>
                <w:sz w:val="22"/>
                <w:szCs w:val="18"/>
              </w:rPr>
            </w:pPr>
            <w:r w:rsidRPr="006F0399">
              <w:rPr>
                <w:b/>
                <w:sz w:val="22"/>
                <w:szCs w:val="18"/>
              </w:rPr>
              <w:t>10°C</w:t>
            </w:r>
          </w:p>
        </w:tc>
        <w:tc>
          <w:tcPr>
            <w:tcW w:w="682" w:type="dxa"/>
            <w:tcBorders>
              <w:top w:val="single" w:sz="8" w:space="0" w:color="000000"/>
              <w:bottom w:val="single" w:sz="8" w:space="0" w:color="000000"/>
              <w:right w:val="single" w:sz="18" w:space="0" w:color="auto"/>
            </w:tcBorders>
            <w:shd w:val="clear" w:color="auto" w:fill="auto"/>
            <w:tcMar>
              <w:top w:w="100" w:type="dxa"/>
              <w:left w:w="100" w:type="dxa"/>
              <w:bottom w:w="100" w:type="dxa"/>
              <w:right w:w="100" w:type="dxa"/>
            </w:tcMar>
            <w:vAlign w:val="center"/>
          </w:tcPr>
          <w:p w14:paraId="5CFDDAED" w14:textId="5EF46DBE" w:rsidR="00E26164" w:rsidRPr="00C22AEE" w:rsidRDefault="00E26164" w:rsidP="00D25422">
            <w:pPr>
              <w:widowControl w:val="0"/>
              <w:jc w:val="center"/>
              <w:rPr>
                <w:b/>
                <w:sz w:val="20"/>
                <w:szCs w:val="20"/>
                <w:vertAlign w:val="subscript"/>
              </w:rPr>
            </w:pPr>
            <w:r w:rsidRPr="00C22AEE">
              <w:rPr>
                <w:b/>
                <w:sz w:val="20"/>
                <w:szCs w:val="20"/>
              </w:rPr>
              <w:t>Pre</w:t>
            </w:r>
          </w:p>
        </w:tc>
        <w:tc>
          <w:tcPr>
            <w:tcW w:w="715" w:type="dxa"/>
            <w:tcBorders>
              <w:top w:val="single" w:sz="8" w:space="0" w:color="000000"/>
              <w:left w:val="single" w:sz="18" w:space="0" w:color="auto"/>
              <w:bottom w:val="single" w:sz="8" w:space="0" w:color="000000"/>
              <w:right w:val="single" w:sz="4" w:space="0" w:color="auto"/>
            </w:tcBorders>
            <w:shd w:val="clear" w:color="auto" w:fill="auto"/>
            <w:tcMar>
              <w:top w:w="100" w:type="dxa"/>
              <w:left w:w="100" w:type="dxa"/>
              <w:bottom w:w="100" w:type="dxa"/>
              <w:right w:w="100" w:type="dxa"/>
            </w:tcMar>
            <w:vAlign w:val="center"/>
          </w:tcPr>
          <w:p w14:paraId="360D1B31" w14:textId="77777777" w:rsidR="00E26164" w:rsidRPr="003A1842" w:rsidRDefault="00E26164" w:rsidP="00D25422">
            <w:pPr>
              <w:widowControl w:val="0"/>
              <w:jc w:val="center"/>
              <w:rPr>
                <w:sz w:val="15"/>
                <w:szCs w:val="15"/>
              </w:rPr>
            </w:pPr>
            <w:r w:rsidRPr="003A1842">
              <w:rPr>
                <w:sz w:val="15"/>
                <w:szCs w:val="15"/>
              </w:rPr>
              <w:t>5.9</w:t>
            </w:r>
          </w:p>
          <w:p w14:paraId="11C496D5" w14:textId="2FD9080F" w:rsidR="00E26164" w:rsidRPr="003A1842" w:rsidRDefault="00E26164" w:rsidP="00D25422">
            <w:pPr>
              <w:widowControl w:val="0"/>
              <w:jc w:val="center"/>
              <w:rPr>
                <w:sz w:val="15"/>
                <w:szCs w:val="15"/>
              </w:rPr>
            </w:pPr>
            <w:r w:rsidRPr="003A1842">
              <w:rPr>
                <w:sz w:val="15"/>
                <w:szCs w:val="15"/>
              </w:rPr>
              <w:t>(0.26)</w:t>
            </w:r>
          </w:p>
        </w:tc>
        <w:tc>
          <w:tcPr>
            <w:tcW w:w="677" w:type="dxa"/>
            <w:gridSpan w:val="2"/>
            <w:tcBorders>
              <w:top w:val="single" w:sz="8" w:space="0" w:color="000000"/>
              <w:left w:val="single" w:sz="4" w:space="0" w:color="auto"/>
              <w:bottom w:val="single" w:sz="8" w:space="0" w:color="000000"/>
            </w:tcBorders>
            <w:shd w:val="clear" w:color="auto" w:fill="auto"/>
            <w:tcMar>
              <w:top w:w="100" w:type="dxa"/>
              <w:left w:w="100" w:type="dxa"/>
              <w:bottom w:w="100" w:type="dxa"/>
              <w:right w:w="100" w:type="dxa"/>
            </w:tcMar>
            <w:vAlign w:val="center"/>
          </w:tcPr>
          <w:p w14:paraId="3DDB2FF6" w14:textId="77777777" w:rsidR="00E26164" w:rsidRPr="003A1842" w:rsidRDefault="00E26164" w:rsidP="00D25422">
            <w:pPr>
              <w:widowControl w:val="0"/>
              <w:jc w:val="center"/>
              <w:rPr>
                <w:sz w:val="15"/>
                <w:szCs w:val="15"/>
              </w:rPr>
            </w:pPr>
          </w:p>
        </w:tc>
        <w:tc>
          <w:tcPr>
            <w:tcW w:w="675" w:type="dxa"/>
            <w:gridSpan w:val="3"/>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1CCBCE41" w14:textId="065B1F26" w:rsidR="00E26164" w:rsidRPr="003A1842" w:rsidRDefault="00E26164" w:rsidP="00D25422">
            <w:pPr>
              <w:widowControl w:val="0"/>
              <w:jc w:val="center"/>
              <w:rPr>
                <w:b/>
                <w:sz w:val="15"/>
                <w:szCs w:val="15"/>
              </w:rPr>
            </w:pPr>
          </w:p>
        </w:tc>
        <w:tc>
          <w:tcPr>
            <w:tcW w:w="659" w:type="dxa"/>
            <w:gridSpan w:val="2"/>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B45DF1" w14:textId="77777777" w:rsidR="00E26164" w:rsidRPr="003A1842" w:rsidRDefault="00E26164" w:rsidP="00D25422">
            <w:pPr>
              <w:widowControl w:val="0"/>
              <w:jc w:val="center"/>
              <w:rPr>
                <w:sz w:val="15"/>
                <w:szCs w:val="15"/>
              </w:rPr>
            </w:pPr>
            <w:r w:rsidRPr="003A1842">
              <w:rPr>
                <w:sz w:val="15"/>
                <w:szCs w:val="15"/>
              </w:rPr>
              <w:t>-</w:t>
            </w:r>
          </w:p>
        </w:tc>
        <w:tc>
          <w:tcPr>
            <w:tcW w:w="662"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center"/>
          </w:tcPr>
          <w:p w14:paraId="0F84C796" w14:textId="77777777" w:rsidR="00E26164" w:rsidRPr="003A1842" w:rsidRDefault="00E26164" w:rsidP="00D25422">
            <w:pPr>
              <w:widowControl w:val="0"/>
              <w:jc w:val="center"/>
              <w:rPr>
                <w:sz w:val="15"/>
                <w:szCs w:val="15"/>
              </w:rPr>
            </w:pPr>
          </w:p>
        </w:tc>
        <w:tc>
          <w:tcPr>
            <w:tcW w:w="664" w:type="dxa"/>
            <w:tcBorders>
              <w:top w:val="nil"/>
              <w:left w:val="nil"/>
              <w:bottom w:val="nil"/>
              <w:right w:val="single" w:sz="18" w:space="0" w:color="auto"/>
            </w:tcBorders>
            <w:shd w:val="clear" w:color="auto" w:fill="auto"/>
            <w:tcMar>
              <w:top w:w="100" w:type="dxa"/>
              <w:left w:w="100" w:type="dxa"/>
              <w:bottom w:w="100" w:type="dxa"/>
              <w:right w:w="100" w:type="dxa"/>
            </w:tcMar>
            <w:vAlign w:val="center"/>
          </w:tcPr>
          <w:p w14:paraId="73E98195" w14:textId="77777777" w:rsidR="00E26164" w:rsidRPr="003A1842" w:rsidRDefault="00E26164" w:rsidP="00D25422">
            <w:pPr>
              <w:widowControl w:val="0"/>
              <w:jc w:val="center"/>
              <w:rPr>
                <w:sz w:val="15"/>
                <w:szCs w:val="15"/>
              </w:rPr>
            </w:pPr>
          </w:p>
        </w:tc>
        <w:tc>
          <w:tcPr>
            <w:tcW w:w="670" w:type="dxa"/>
            <w:tcBorders>
              <w:left w:val="single" w:sz="18" w:space="0" w:color="auto"/>
            </w:tcBorders>
            <w:shd w:val="clear" w:color="auto" w:fill="auto"/>
            <w:tcMar>
              <w:top w:w="100" w:type="dxa"/>
              <w:left w:w="100" w:type="dxa"/>
              <w:bottom w:w="100" w:type="dxa"/>
              <w:right w:w="100" w:type="dxa"/>
            </w:tcMar>
            <w:vAlign w:val="center"/>
          </w:tcPr>
          <w:p w14:paraId="591D3118" w14:textId="28F27201" w:rsidR="00E26164" w:rsidRPr="00457E21" w:rsidRDefault="00E26164" w:rsidP="00D25422">
            <w:pPr>
              <w:widowControl w:val="0"/>
              <w:jc w:val="center"/>
              <w:rPr>
                <w:b/>
                <w:sz w:val="15"/>
                <w:szCs w:val="15"/>
              </w:rPr>
            </w:pPr>
            <w:r w:rsidRPr="00457E21">
              <w:rPr>
                <w:b/>
                <w:sz w:val="15"/>
                <w:szCs w:val="15"/>
              </w:rPr>
              <w:t>*15.8 (0.017)</w:t>
            </w:r>
          </w:p>
        </w:tc>
        <w:tc>
          <w:tcPr>
            <w:tcW w:w="681" w:type="dxa"/>
            <w:shd w:val="clear" w:color="auto" w:fill="auto"/>
            <w:tcMar>
              <w:top w:w="100" w:type="dxa"/>
              <w:left w:w="100" w:type="dxa"/>
              <w:bottom w:w="100" w:type="dxa"/>
              <w:right w:w="100" w:type="dxa"/>
            </w:tcMar>
            <w:vAlign w:val="center"/>
          </w:tcPr>
          <w:p w14:paraId="4FF13FA2" w14:textId="77777777" w:rsidR="00E26164" w:rsidRPr="003A1842" w:rsidRDefault="00E26164" w:rsidP="00D25422">
            <w:pPr>
              <w:widowControl w:val="0"/>
              <w:jc w:val="center"/>
              <w:rPr>
                <w:sz w:val="15"/>
                <w:szCs w:val="15"/>
              </w:rPr>
            </w:pPr>
          </w:p>
        </w:tc>
        <w:tc>
          <w:tcPr>
            <w:tcW w:w="719" w:type="dxa"/>
            <w:shd w:val="clear" w:color="auto" w:fill="auto"/>
            <w:tcMar>
              <w:top w:w="100" w:type="dxa"/>
              <w:left w:w="100" w:type="dxa"/>
              <w:bottom w:w="100" w:type="dxa"/>
              <w:right w:w="100" w:type="dxa"/>
            </w:tcMar>
            <w:vAlign w:val="center"/>
          </w:tcPr>
          <w:p w14:paraId="7523027D" w14:textId="371D4D40" w:rsidR="00E26164" w:rsidRPr="003A1842" w:rsidRDefault="00E26164" w:rsidP="00D25422">
            <w:pPr>
              <w:widowControl w:val="0"/>
              <w:jc w:val="center"/>
              <w:rPr>
                <w:sz w:val="15"/>
                <w:szCs w:val="15"/>
              </w:rPr>
            </w:pPr>
          </w:p>
        </w:tc>
        <w:tc>
          <w:tcPr>
            <w:tcW w:w="719" w:type="dxa"/>
            <w:tcBorders>
              <w:top w:val="single" w:sz="8" w:space="0" w:color="000000"/>
              <w:right w:val="single" w:sz="8" w:space="0" w:color="000000"/>
            </w:tcBorders>
            <w:shd w:val="clear" w:color="auto" w:fill="auto"/>
            <w:tcMar>
              <w:top w:w="100" w:type="dxa"/>
              <w:left w:w="100" w:type="dxa"/>
              <w:bottom w:w="100" w:type="dxa"/>
              <w:right w:w="100" w:type="dxa"/>
            </w:tcMar>
            <w:vAlign w:val="center"/>
          </w:tcPr>
          <w:p w14:paraId="5B23710A" w14:textId="77777777" w:rsidR="00E26164" w:rsidRPr="003A1842" w:rsidRDefault="00E26164" w:rsidP="00D25422">
            <w:pPr>
              <w:widowControl w:val="0"/>
              <w:jc w:val="center"/>
              <w:rPr>
                <w:sz w:val="15"/>
                <w:szCs w:val="15"/>
              </w:rPr>
            </w:pPr>
            <w:r w:rsidRPr="003A1842">
              <w:rPr>
                <w:sz w:val="15"/>
                <w:szCs w:val="15"/>
              </w:rPr>
              <w:t>-</w:t>
            </w:r>
          </w:p>
        </w:tc>
        <w:tc>
          <w:tcPr>
            <w:tcW w:w="71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center"/>
          </w:tcPr>
          <w:p w14:paraId="79B481BE" w14:textId="77777777" w:rsidR="00E26164" w:rsidRPr="003A1842" w:rsidRDefault="00E26164" w:rsidP="00D25422">
            <w:pPr>
              <w:widowControl w:val="0"/>
              <w:jc w:val="center"/>
              <w:rPr>
                <w:sz w:val="15"/>
                <w:szCs w:val="15"/>
              </w:rPr>
            </w:pPr>
          </w:p>
        </w:tc>
        <w:tc>
          <w:tcPr>
            <w:tcW w:w="719" w:type="dxa"/>
            <w:tcBorders>
              <w:top w:val="nil"/>
              <w:left w:val="nil"/>
              <w:bottom w:val="nil"/>
              <w:right w:val="single" w:sz="18" w:space="0" w:color="auto"/>
            </w:tcBorders>
            <w:shd w:val="clear" w:color="auto" w:fill="auto"/>
            <w:tcMar>
              <w:top w:w="100" w:type="dxa"/>
              <w:left w:w="100" w:type="dxa"/>
              <w:bottom w:w="100" w:type="dxa"/>
              <w:right w:w="100" w:type="dxa"/>
            </w:tcMar>
            <w:vAlign w:val="center"/>
          </w:tcPr>
          <w:p w14:paraId="1CE2528F" w14:textId="77777777" w:rsidR="00E26164" w:rsidRPr="003A1842" w:rsidRDefault="00E26164" w:rsidP="00D25422">
            <w:pPr>
              <w:widowControl w:val="0"/>
              <w:jc w:val="center"/>
              <w:rPr>
                <w:sz w:val="15"/>
                <w:szCs w:val="15"/>
              </w:rPr>
            </w:pPr>
          </w:p>
        </w:tc>
      </w:tr>
      <w:tr w:rsidR="00E26164" w14:paraId="268B4EA1" w14:textId="77777777" w:rsidTr="00D25422">
        <w:trPr>
          <w:trHeight w:val="20"/>
        </w:trPr>
        <w:tc>
          <w:tcPr>
            <w:tcW w:w="772" w:type="dxa"/>
            <w:vMerge/>
            <w:tcBorders>
              <w:right w:val="single" w:sz="8" w:space="0" w:color="000000"/>
            </w:tcBorders>
            <w:shd w:val="clear" w:color="auto" w:fill="auto"/>
            <w:vAlign w:val="center"/>
          </w:tcPr>
          <w:p w14:paraId="305B1B99" w14:textId="77777777" w:rsidR="00E26164" w:rsidRPr="006F0399" w:rsidRDefault="00E26164" w:rsidP="00D25422">
            <w:pPr>
              <w:widowControl w:val="0"/>
              <w:jc w:val="center"/>
              <w:rPr>
                <w:b/>
                <w:sz w:val="22"/>
                <w:szCs w:val="18"/>
              </w:rPr>
            </w:pPr>
          </w:p>
        </w:tc>
        <w:tc>
          <w:tcPr>
            <w:tcW w:w="682" w:type="dxa"/>
            <w:tcBorders>
              <w:top w:val="single" w:sz="8" w:space="0" w:color="000000"/>
              <w:bottom w:val="single" w:sz="8" w:space="0" w:color="000000"/>
              <w:right w:val="single" w:sz="18" w:space="0" w:color="auto"/>
            </w:tcBorders>
            <w:shd w:val="clear" w:color="auto" w:fill="auto"/>
            <w:tcMar>
              <w:top w:w="100" w:type="dxa"/>
              <w:left w:w="100" w:type="dxa"/>
              <w:bottom w:w="100" w:type="dxa"/>
              <w:right w:w="100" w:type="dxa"/>
            </w:tcMar>
            <w:vAlign w:val="center"/>
          </w:tcPr>
          <w:p w14:paraId="79048D82" w14:textId="735FF0B1" w:rsidR="00E26164" w:rsidRPr="00C22AEE" w:rsidRDefault="00E26164" w:rsidP="00D25422">
            <w:pPr>
              <w:widowControl w:val="0"/>
              <w:jc w:val="center"/>
              <w:rPr>
                <w:b/>
                <w:sz w:val="20"/>
                <w:szCs w:val="20"/>
              </w:rPr>
            </w:pPr>
            <w:proofErr w:type="spellStart"/>
            <w:r w:rsidRPr="00C22AEE">
              <w:rPr>
                <w:b/>
                <w:sz w:val="20"/>
                <w:szCs w:val="20"/>
              </w:rPr>
              <w:t>Amb</w:t>
            </w:r>
            <w:proofErr w:type="spellEnd"/>
          </w:p>
        </w:tc>
        <w:tc>
          <w:tcPr>
            <w:tcW w:w="715" w:type="dxa"/>
            <w:tcBorders>
              <w:top w:val="single" w:sz="8" w:space="0" w:color="000000"/>
              <w:left w:val="single" w:sz="18" w:space="0" w:color="auto"/>
              <w:bottom w:val="single" w:sz="8" w:space="0" w:color="000000"/>
              <w:right w:val="single" w:sz="4" w:space="0" w:color="auto"/>
            </w:tcBorders>
            <w:shd w:val="clear" w:color="auto" w:fill="auto"/>
            <w:tcMar>
              <w:top w:w="100" w:type="dxa"/>
              <w:left w:w="100" w:type="dxa"/>
              <w:bottom w:w="100" w:type="dxa"/>
              <w:right w:w="100" w:type="dxa"/>
            </w:tcMar>
            <w:vAlign w:val="center"/>
          </w:tcPr>
          <w:p w14:paraId="3EB5B494" w14:textId="77777777" w:rsidR="00E26164" w:rsidRPr="003A1842" w:rsidRDefault="00E26164" w:rsidP="00D25422">
            <w:pPr>
              <w:widowControl w:val="0"/>
              <w:jc w:val="center"/>
              <w:rPr>
                <w:sz w:val="15"/>
                <w:szCs w:val="15"/>
              </w:rPr>
            </w:pPr>
          </w:p>
        </w:tc>
        <w:tc>
          <w:tcPr>
            <w:tcW w:w="677" w:type="dxa"/>
            <w:gridSpan w:val="2"/>
            <w:tcBorders>
              <w:top w:val="single" w:sz="8" w:space="0" w:color="000000"/>
              <w:left w:val="single" w:sz="4" w:space="0" w:color="auto"/>
              <w:bottom w:val="single" w:sz="8" w:space="0" w:color="000000"/>
            </w:tcBorders>
            <w:shd w:val="clear" w:color="auto" w:fill="auto"/>
            <w:tcMar>
              <w:top w:w="100" w:type="dxa"/>
              <w:left w:w="100" w:type="dxa"/>
              <w:bottom w:w="100" w:type="dxa"/>
              <w:right w:w="100" w:type="dxa"/>
            </w:tcMar>
            <w:vAlign w:val="center"/>
          </w:tcPr>
          <w:p w14:paraId="5BDD7173" w14:textId="3D411F50" w:rsidR="00E26164" w:rsidRPr="003A1842" w:rsidRDefault="00E26164" w:rsidP="00D25422">
            <w:pPr>
              <w:widowControl w:val="0"/>
              <w:jc w:val="center"/>
              <w:rPr>
                <w:sz w:val="15"/>
                <w:szCs w:val="15"/>
              </w:rPr>
            </w:pPr>
          </w:p>
        </w:tc>
        <w:tc>
          <w:tcPr>
            <w:tcW w:w="675" w:type="dxa"/>
            <w:gridSpan w:val="3"/>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595620E4" w14:textId="77777777" w:rsidR="00E26164" w:rsidRPr="003A1842" w:rsidRDefault="00E26164" w:rsidP="00D25422">
            <w:pPr>
              <w:widowControl w:val="0"/>
              <w:jc w:val="center"/>
              <w:rPr>
                <w:sz w:val="15"/>
                <w:szCs w:val="15"/>
              </w:rPr>
            </w:pPr>
          </w:p>
        </w:tc>
        <w:tc>
          <w:tcPr>
            <w:tcW w:w="659" w:type="dxa"/>
            <w:gridSpan w:val="2"/>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5838BC0B" w14:textId="73A0B662" w:rsidR="00E26164" w:rsidRPr="003A1842" w:rsidRDefault="00E26164" w:rsidP="00D25422">
            <w:pPr>
              <w:widowControl w:val="0"/>
              <w:jc w:val="center"/>
              <w:rPr>
                <w:sz w:val="15"/>
                <w:szCs w:val="15"/>
              </w:rPr>
            </w:pPr>
            <w:r w:rsidRPr="003A1842">
              <w:rPr>
                <w:sz w:val="15"/>
                <w:szCs w:val="15"/>
              </w:rPr>
              <w:t>6.8 (0.18)</w:t>
            </w:r>
          </w:p>
        </w:tc>
        <w:tc>
          <w:tcPr>
            <w:tcW w:w="662"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392DD72" w14:textId="77777777" w:rsidR="00E26164" w:rsidRPr="003A1842" w:rsidRDefault="00E26164" w:rsidP="00D25422">
            <w:pPr>
              <w:widowControl w:val="0"/>
              <w:jc w:val="center"/>
              <w:rPr>
                <w:sz w:val="15"/>
                <w:szCs w:val="15"/>
              </w:rPr>
            </w:pPr>
            <w:r w:rsidRPr="003A1842">
              <w:rPr>
                <w:sz w:val="15"/>
                <w:szCs w:val="15"/>
              </w:rPr>
              <w:t>-</w:t>
            </w:r>
          </w:p>
        </w:tc>
        <w:tc>
          <w:tcPr>
            <w:tcW w:w="664" w:type="dxa"/>
            <w:tcBorders>
              <w:top w:val="nil"/>
              <w:left w:val="single" w:sz="8" w:space="0" w:color="000000"/>
              <w:bottom w:val="single" w:sz="8" w:space="0" w:color="000000"/>
              <w:right w:val="single" w:sz="18" w:space="0" w:color="auto"/>
            </w:tcBorders>
            <w:shd w:val="clear" w:color="auto" w:fill="auto"/>
            <w:tcMar>
              <w:top w:w="100" w:type="dxa"/>
              <w:left w:w="100" w:type="dxa"/>
              <w:bottom w:w="100" w:type="dxa"/>
              <w:right w:w="100" w:type="dxa"/>
            </w:tcMar>
            <w:vAlign w:val="center"/>
          </w:tcPr>
          <w:p w14:paraId="04462407" w14:textId="77777777" w:rsidR="00E26164" w:rsidRPr="003A1842" w:rsidRDefault="00E26164" w:rsidP="00D25422">
            <w:pPr>
              <w:widowControl w:val="0"/>
              <w:jc w:val="center"/>
              <w:rPr>
                <w:sz w:val="15"/>
                <w:szCs w:val="15"/>
              </w:rPr>
            </w:pPr>
          </w:p>
        </w:tc>
        <w:tc>
          <w:tcPr>
            <w:tcW w:w="670" w:type="dxa"/>
            <w:tcBorders>
              <w:left w:val="single" w:sz="18" w:space="0" w:color="auto"/>
              <w:bottom w:val="single" w:sz="8" w:space="0" w:color="000000"/>
            </w:tcBorders>
            <w:shd w:val="clear" w:color="auto" w:fill="auto"/>
            <w:tcMar>
              <w:top w:w="100" w:type="dxa"/>
              <w:left w:w="100" w:type="dxa"/>
              <w:bottom w:w="100" w:type="dxa"/>
              <w:right w:w="100" w:type="dxa"/>
            </w:tcMar>
            <w:vAlign w:val="center"/>
          </w:tcPr>
          <w:p w14:paraId="77BA066D" w14:textId="77777777" w:rsidR="00E26164" w:rsidRPr="00931795" w:rsidRDefault="00E26164" w:rsidP="00D25422">
            <w:pPr>
              <w:widowControl w:val="0"/>
              <w:jc w:val="center"/>
              <w:rPr>
                <w:sz w:val="15"/>
                <w:szCs w:val="15"/>
              </w:rPr>
            </w:pPr>
          </w:p>
        </w:tc>
        <w:tc>
          <w:tcPr>
            <w:tcW w:w="681" w:type="dxa"/>
            <w:tcBorders>
              <w:bottom w:val="single" w:sz="8" w:space="0" w:color="000000"/>
            </w:tcBorders>
            <w:shd w:val="clear" w:color="auto" w:fill="auto"/>
            <w:tcMar>
              <w:top w:w="100" w:type="dxa"/>
              <w:left w:w="100" w:type="dxa"/>
              <w:bottom w:w="100" w:type="dxa"/>
              <w:right w:w="100" w:type="dxa"/>
            </w:tcMar>
            <w:vAlign w:val="center"/>
          </w:tcPr>
          <w:p w14:paraId="36958620" w14:textId="76DEF2AD" w:rsidR="00E26164" w:rsidRPr="003A1842" w:rsidRDefault="00E26164" w:rsidP="00D25422">
            <w:pPr>
              <w:widowControl w:val="0"/>
              <w:jc w:val="center"/>
              <w:rPr>
                <w:b/>
                <w:sz w:val="15"/>
                <w:szCs w:val="15"/>
              </w:rPr>
            </w:pPr>
          </w:p>
        </w:tc>
        <w:tc>
          <w:tcPr>
            <w:tcW w:w="719" w:type="dxa"/>
            <w:tcBorders>
              <w:top w:val="nil"/>
              <w:bottom w:val="single" w:sz="8" w:space="0" w:color="000000"/>
            </w:tcBorders>
            <w:shd w:val="clear" w:color="auto" w:fill="auto"/>
            <w:tcMar>
              <w:top w:w="100" w:type="dxa"/>
              <w:left w:w="100" w:type="dxa"/>
              <w:bottom w:w="100" w:type="dxa"/>
              <w:right w:w="100" w:type="dxa"/>
            </w:tcMar>
            <w:vAlign w:val="center"/>
          </w:tcPr>
          <w:p w14:paraId="21473D4A" w14:textId="77777777" w:rsidR="00E26164" w:rsidRPr="003A1842" w:rsidRDefault="00E26164" w:rsidP="00D25422">
            <w:pPr>
              <w:widowControl w:val="0"/>
              <w:jc w:val="center"/>
              <w:rPr>
                <w:sz w:val="15"/>
                <w:szCs w:val="15"/>
              </w:rPr>
            </w:pPr>
          </w:p>
        </w:tc>
        <w:tc>
          <w:tcPr>
            <w:tcW w:w="719" w:type="dxa"/>
            <w:tcBorders>
              <w:top w:val="nil"/>
              <w:bottom w:val="single" w:sz="8" w:space="0" w:color="000000"/>
            </w:tcBorders>
            <w:shd w:val="clear" w:color="auto" w:fill="auto"/>
            <w:tcMar>
              <w:top w:w="100" w:type="dxa"/>
              <w:left w:w="100" w:type="dxa"/>
              <w:bottom w:w="100" w:type="dxa"/>
              <w:right w:w="100" w:type="dxa"/>
            </w:tcMar>
            <w:vAlign w:val="center"/>
          </w:tcPr>
          <w:p w14:paraId="4506F42F" w14:textId="5FA42D7F" w:rsidR="00E26164" w:rsidRPr="00457E21" w:rsidRDefault="00E26164" w:rsidP="00D25422">
            <w:pPr>
              <w:widowControl w:val="0"/>
              <w:jc w:val="center"/>
              <w:rPr>
                <w:b/>
                <w:sz w:val="15"/>
                <w:szCs w:val="15"/>
              </w:rPr>
            </w:pPr>
            <w:r w:rsidRPr="00457E21">
              <w:rPr>
                <w:b/>
                <w:sz w:val="15"/>
                <w:szCs w:val="15"/>
              </w:rPr>
              <w:t>*12.7 (0.038)</w:t>
            </w:r>
          </w:p>
        </w:tc>
        <w:tc>
          <w:tcPr>
            <w:tcW w:w="719"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D280AC" w14:textId="77777777" w:rsidR="00E26164" w:rsidRPr="00931795" w:rsidRDefault="00E26164" w:rsidP="00D25422">
            <w:pPr>
              <w:widowControl w:val="0"/>
              <w:jc w:val="center"/>
              <w:rPr>
                <w:sz w:val="15"/>
                <w:szCs w:val="15"/>
              </w:rPr>
            </w:pPr>
            <w:r w:rsidRPr="00931795">
              <w:rPr>
                <w:sz w:val="15"/>
                <w:szCs w:val="15"/>
              </w:rPr>
              <w:t>-</w:t>
            </w:r>
          </w:p>
        </w:tc>
        <w:tc>
          <w:tcPr>
            <w:tcW w:w="719" w:type="dxa"/>
            <w:tcBorders>
              <w:top w:val="nil"/>
              <w:left w:val="single" w:sz="8" w:space="0" w:color="000000"/>
              <w:bottom w:val="single" w:sz="8" w:space="0" w:color="000000"/>
              <w:right w:val="single" w:sz="18" w:space="0" w:color="auto"/>
            </w:tcBorders>
            <w:shd w:val="clear" w:color="auto" w:fill="auto"/>
            <w:tcMar>
              <w:top w:w="100" w:type="dxa"/>
              <w:left w:w="100" w:type="dxa"/>
              <w:bottom w:w="100" w:type="dxa"/>
              <w:right w:w="100" w:type="dxa"/>
            </w:tcMar>
            <w:vAlign w:val="center"/>
          </w:tcPr>
          <w:p w14:paraId="449F18E8" w14:textId="77777777" w:rsidR="00E26164" w:rsidRPr="003A1842" w:rsidRDefault="00E26164" w:rsidP="00D25422">
            <w:pPr>
              <w:jc w:val="center"/>
              <w:rPr>
                <w:sz w:val="15"/>
                <w:szCs w:val="15"/>
              </w:rPr>
            </w:pPr>
          </w:p>
        </w:tc>
      </w:tr>
      <w:tr w:rsidR="00E26164" w14:paraId="73F70E05" w14:textId="77777777" w:rsidTr="00D25422">
        <w:trPr>
          <w:trHeight w:val="20"/>
        </w:trPr>
        <w:tc>
          <w:tcPr>
            <w:tcW w:w="772" w:type="dxa"/>
            <w:vMerge/>
            <w:tcBorders>
              <w:bottom w:val="single" w:sz="4" w:space="0" w:color="auto"/>
              <w:right w:val="single" w:sz="8" w:space="0" w:color="000000"/>
            </w:tcBorders>
            <w:shd w:val="clear" w:color="auto" w:fill="auto"/>
            <w:vAlign w:val="center"/>
          </w:tcPr>
          <w:p w14:paraId="239F5B9E" w14:textId="77777777" w:rsidR="00E26164" w:rsidRPr="006F0399" w:rsidRDefault="00E26164" w:rsidP="00D25422">
            <w:pPr>
              <w:widowControl w:val="0"/>
              <w:jc w:val="center"/>
              <w:rPr>
                <w:b/>
                <w:sz w:val="22"/>
                <w:szCs w:val="18"/>
              </w:rPr>
            </w:pPr>
          </w:p>
        </w:tc>
        <w:tc>
          <w:tcPr>
            <w:tcW w:w="682" w:type="dxa"/>
            <w:tcBorders>
              <w:top w:val="single" w:sz="8" w:space="0" w:color="000000"/>
              <w:bottom w:val="single" w:sz="4" w:space="0" w:color="auto"/>
              <w:right w:val="single" w:sz="18" w:space="0" w:color="auto"/>
            </w:tcBorders>
            <w:shd w:val="clear" w:color="auto" w:fill="auto"/>
            <w:tcMar>
              <w:top w:w="100" w:type="dxa"/>
              <w:left w:w="100" w:type="dxa"/>
              <w:bottom w:w="100" w:type="dxa"/>
              <w:right w:w="100" w:type="dxa"/>
            </w:tcMar>
            <w:vAlign w:val="center"/>
          </w:tcPr>
          <w:p w14:paraId="495441DE" w14:textId="5008CE70" w:rsidR="00E26164" w:rsidRPr="00C22AEE" w:rsidRDefault="00E26164" w:rsidP="00D25422">
            <w:pPr>
              <w:widowControl w:val="0"/>
              <w:jc w:val="center"/>
              <w:rPr>
                <w:b/>
                <w:sz w:val="20"/>
                <w:szCs w:val="20"/>
              </w:rPr>
            </w:pPr>
            <w:r w:rsidRPr="00C22AEE">
              <w:rPr>
                <w:b/>
                <w:sz w:val="20"/>
                <w:szCs w:val="20"/>
              </w:rPr>
              <w:t>High</w:t>
            </w:r>
          </w:p>
        </w:tc>
        <w:tc>
          <w:tcPr>
            <w:tcW w:w="715" w:type="dxa"/>
            <w:tcBorders>
              <w:top w:val="single" w:sz="8" w:space="0" w:color="000000"/>
              <w:left w:val="single" w:sz="18" w:space="0" w:color="auto"/>
              <w:bottom w:val="single" w:sz="18" w:space="0" w:color="auto"/>
              <w:right w:val="single" w:sz="4" w:space="0" w:color="auto"/>
            </w:tcBorders>
            <w:shd w:val="clear" w:color="auto" w:fill="auto"/>
            <w:tcMar>
              <w:top w:w="100" w:type="dxa"/>
              <w:left w:w="100" w:type="dxa"/>
              <w:bottom w:w="100" w:type="dxa"/>
              <w:right w:w="100" w:type="dxa"/>
            </w:tcMar>
            <w:vAlign w:val="center"/>
          </w:tcPr>
          <w:p w14:paraId="406FB126" w14:textId="77777777" w:rsidR="00E26164" w:rsidRPr="003A1842" w:rsidRDefault="00E26164" w:rsidP="00D25422">
            <w:pPr>
              <w:widowControl w:val="0"/>
              <w:jc w:val="center"/>
              <w:rPr>
                <w:sz w:val="15"/>
                <w:szCs w:val="15"/>
              </w:rPr>
            </w:pPr>
          </w:p>
        </w:tc>
        <w:tc>
          <w:tcPr>
            <w:tcW w:w="677" w:type="dxa"/>
            <w:gridSpan w:val="2"/>
            <w:tcBorders>
              <w:top w:val="single" w:sz="8" w:space="0" w:color="000000"/>
              <w:left w:val="single" w:sz="4" w:space="0" w:color="auto"/>
              <w:bottom w:val="single" w:sz="18" w:space="0" w:color="auto"/>
            </w:tcBorders>
            <w:shd w:val="clear" w:color="auto" w:fill="auto"/>
            <w:tcMar>
              <w:top w:w="100" w:type="dxa"/>
              <w:left w:w="100" w:type="dxa"/>
              <w:bottom w:w="100" w:type="dxa"/>
              <w:right w:w="100" w:type="dxa"/>
            </w:tcMar>
            <w:vAlign w:val="center"/>
          </w:tcPr>
          <w:p w14:paraId="17EBCDEF" w14:textId="7C9E06D3" w:rsidR="00E26164" w:rsidRPr="003A1842" w:rsidRDefault="00E26164" w:rsidP="00D25422">
            <w:pPr>
              <w:widowControl w:val="0"/>
              <w:jc w:val="center"/>
              <w:rPr>
                <w:sz w:val="15"/>
                <w:szCs w:val="15"/>
              </w:rPr>
            </w:pPr>
            <w:r w:rsidRPr="003A1842">
              <w:rPr>
                <w:sz w:val="15"/>
                <w:szCs w:val="15"/>
              </w:rPr>
              <w:t>5.3 (0.29)</w:t>
            </w:r>
          </w:p>
        </w:tc>
        <w:tc>
          <w:tcPr>
            <w:tcW w:w="675" w:type="dxa"/>
            <w:gridSpan w:val="3"/>
            <w:tcBorders>
              <w:top w:val="single" w:sz="8" w:space="0" w:color="000000"/>
              <w:bottom w:val="single" w:sz="18" w:space="0" w:color="auto"/>
            </w:tcBorders>
            <w:shd w:val="clear" w:color="auto" w:fill="auto"/>
            <w:tcMar>
              <w:top w:w="100" w:type="dxa"/>
              <w:left w:w="100" w:type="dxa"/>
              <w:bottom w:w="100" w:type="dxa"/>
              <w:right w:w="100" w:type="dxa"/>
            </w:tcMar>
            <w:vAlign w:val="center"/>
          </w:tcPr>
          <w:p w14:paraId="4C47F61B" w14:textId="70C6BB89" w:rsidR="00E26164" w:rsidRPr="003A1842" w:rsidRDefault="00E26164" w:rsidP="00D25422">
            <w:pPr>
              <w:widowControl w:val="0"/>
              <w:jc w:val="center"/>
              <w:rPr>
                <w:sz w:val="15"/>
                <w:szCs w:val="15"/>
              </w:rPr>
            </w:pPr>
          </w:p>
        </w:tc>
        <w:tc>
          <w:tcPr>
            <w:tcW w:w="659" w:type="dxa"/>
            <w:gridSpan w:val="2"/>
            <w:tcBorders>
              <w:top w:val="single" w:sz="8" w:space="0" w:color="000000"/>
              <w:bottom w:val="single" w:sz="18" w:space="0" w:color="auto"/>
            </w:tcBorders>
            <w:shd w:val="clear" w:color="auto" w:fill="auto"/>
            <w:tcMar>
              <w:top w:w="100" w:type="dxa"/>
              <w:left w:w="100" w:type="dxa"/>
              <w:bottom w:w="100" w:type="dxa"/>
              <w:right w:w="100" w:type="dxa"/>
            </w:tcMar>
            <w:vAlign w:val="center"/>
          </w:tcPr>
          <w:p w14:paraId="7FB9510E" w14:textId="7781CB67" w:rsidR="00E26164" w:rsidRPr="003A1842" w:rsidRDefault="00E26164" w:rsidP="00D25422">
            <w:pPr>
              <w:widowControl w:val="0"/>
              <w:jc w:val="center"/>
              <w:rPr>
                <w:sz w:val="15"/>
                <w:szCs w:val="15"/>
              </w:rPr>
            </w:pPr>
            <w:r w:rsidRPr="003A1842">
              <w:rPr>
                <w:sz w:val="15"/>
                <w:szCs w:val="15"/>
              </w:rPr>
              <w:t>3.8 (0.46)</w:t>
            </w:r>
          </w:p>
        </w:tc>
        <w:tc>
          <w:tcPr>
            <w:tcW w:w="662" w:type="dxa"/>
            <w:tcBorders>
              <w:top w:val="single" w:sz="8" w:space="0" w:color="000000"/>
              <w:bottom w:val="single" w:sz="18" w:space="0" w:color="auto"/>
            </w:tcBorders>
            <w:shd w:val="clear" w:color="auto" w:fill="auto"/>
            <w:tcMar>
              <w:top w:w="100" w:type="dxa"/>
              <w:left w:w="100" w:type="dxa"/>
              <w:bottom w:w="100" w:type="dxa"/>
              <w:right w:w="100" w:type="dxa"/>
            </w:tcMar>
            <w:vAlign w:val="center"/>
          </w:tcPr>
          <w:p w14:paraId="036791D5" w14:textId="58BE4E64" w:rsidR="00E26164" w:rsidRPr="003A1842" w:rsidRDefault="00E26164" w:rsidP="00D25422">
            <w:pPr>
              <w:widowControl w:val="0"/>
              <w:jc w:val="center"/>
              <w:rPr>
                <w:sz w:val="15"/>
                <w:szCs w:val="15"/>
              </w:rPr>
            </w:pPr>
            <w:r w:rsidRPr="003A1842">
              <w:rPr>
                <w:sz w:val="15"/>
                <w:szCs w:val="15"/>
              </w:rPr>
              <w:t>0.6 (0.94)</w:t>
            </w:r>
          </w:p>
        </w:tc>
        <w:tc>
          <w:tcPr>
            <w:tcW w:w="664" w:type="dxa"/>
            <w:tcBorders>
              <w:top w:val="single" w:sz="8" w:space="0" w:color="000000"/>
              <w:bottom w:val="single" w:sz="18" w:space="0" w:color="auto"/>
              <w:right w:val="single" w:sz="18" w:space="0" w:color="auto"/>
            </w:tcBorders>
            <w:shd w:val="clear" w:color="auto" w:fill="auto"/>
            <w:tcMar>
              <w:top w:w="100" w:type="dxa"/>
              <w:left w:w="100" w:type="dxa"/>
              <w:bottom w:w="100" w:type="dxa"/>
              <w:right w:w="100" w:type="dxa"/>
            </w:tcMar>
            <w:vAlign w:val="center"/>
          </w:tcPr>
          <w:p w14:paraId="375242B7" w14:textId="77777777" w:rsidR="00E26164" w:rsidRPr="003A1842" w:rsidRDefault="00E26164" w:rsidP="00D25422">
            <w:pPr>
              <w:widowControl w:val="0"/>
              <w:jc w:val="center"/>
              <w:rPr>
                <w:sz w:val="15"/>
                <w:szCs w:val="15"/>
              </w:rPr>
            </w:pPr>
            <w:r w:rsidRPr="003A1842">
              <w:rPr>
                <w:sz w:val="15"/>
                <w:szCs w:val="15"/>
              </w:rPr>
              <w:t>-</w:t>
            </w:r>
          </w:p>
        </w:tc>
        <w:tc>
          <w:tcPr>
            <w:tcW w:w="670" w:type="dxa"/>
            <w:tcBorders>
              <w:left w:val="single" w:sz="18" w:space="0" w:color="auto"/>
              <w:bottom w:val="single" w:sz="18" w:space="0" w:color="auto"/>
            </w:tcBorders>
            <w:shd w:val="clear" w:color="auto" w:fill="auto"/>
            <w:tcMar>
              <w:top w:w="100" w:type="dxa"/>
              <w:left w:w="100" w:type="dxa"/>
              <w:bottom w:w="100" w:type="dxa"/>
              <w:right w:w="100" w:type="dxa"/>
            </w:tcMar>
            <w:vAlign w:val="center"/>
          </w:tcPr>
          <w:p w14:paraId="59495429" w14:textId="77777777" w:rsidR="00E26164" w:rsidRPr="003A1842" w:rsidRDefault="00E26164" w:rsidP="00D25422">
            <w:pPr>
              <w:widowControl w:val="0"/>
              <w:jc w:val="center"/>
              <w:rPr>
                <w:sz w:val="15"/>
                <w:szCs w:val="15"/>
              </w:rPr>
            </w:pPr>
          </w:p>
        </w:tc>
        <w:tc>
          <w:tcPr>
            <w:tcW w:w="681" w:type="dxa"/>
            <w:tcBorders>
              <w:bottom w:val="single" w:sz="18" w:space="0" w:color="auto"/>
            </w:tcBorders>
            <w:shd w:val="clear" w:color="auto" w:fill="auto"/>
            <w:tcMar>
              <w:top w:w="100" w:type="dxa"/>
              <w:left w:w="100" w:type="dxa"/>
              <w:bottom w:w="100" w:type="dxa"/>
              <w:right w:w="100" w:type="dxa"/>
            </w:tcMar>
            <w:vAlign w:val="center"/>
          </w:tcPr>
          <w:p w14:paraId="6D2E9623" w14:textId="6ACCF51C" w:rsidR="00E26164" w:rsidRPr="003A1842" w:rsidRDefault="00E26164" w:rsidP="00D25422">
            <w:pPr>
              <w:widowControl w:val="0"/>
              <w:jc w:val="center"/>
              <w:rPr>
                <w:sz w:val="15"/>
                <w:szCs w:val="15"/>
              </w:rPr>
            </w:pPr>
            <w:r w:rsidRPr="003A1842">
              <w:rPr>
                <w:sz w:val="15"/>
                <w:szCs w:val="15"/>
              </w:rPr>
              <w:t>2.8</w:t>
            </w:r>
            <w:r w:rsidRPr="003A1842">
              <w:rPr>
                <w:b/>
                <w:sz w:val="15"/>
                <w:szCs w:val="15"/>
              </w:rPr>
              <w:t xml:space="preserve"> </w:t>
            </w:r>
            <w:r w:rsidRPr="003A1842">
              <w:rPr>
                <w:sz w:val="15"/>
                <w:szCs w:val="15"/>
              </w:rPr>
              <w:t>(0.78)</w:t>
            </w:r>
          </w:p>
        </w:tc>
        <w:tc>
          <w:tcPr>
            <w:tcW w:w="719" w:type="dxa"/>
            <w:tcBorders>
              <w:bottom w:val="single" w:sz="18" w:space="0" w:color="auto"/>
            </w:tcBorders>
            <w:shd w:val="clear" w:color="auto" w:fill="auto"/>
            <w:tcMar>
              <w:top w:w="100" w:type="dxa"/>
              <w:left w:w="100" w:type="dxa"/>
              <w:bottom w:w="100" w:type="dxa"/>
              <w:right w:w="100" w:type="dxa"/>
            </w:tcMar>
            <w:vAlign w:val="center"/>
          </w:tcPr>
          <w:p w14:paraId="2F42B67A" w14:textId="7A2971A7" w:rsidR="00E26164" w:rsidRPr="003A1842" w:rsidRDefault="00E26164" w:rsidP="00D25422">
            <w:pPr>
              <w:widowControl w:val="0"/>
              <w:jc w:val="center"/>
              <w:rPr>
                <w:sz w:val="15"/>
                <w:szCs w:val="15"/>
              </w:rPr>
            </w:pPr>
          </w:p>
        </w:tc>
        <w:tc>
          <w:tcPr>
            <w:tcW w:w="719" w:type="dxa"/>
            <w:tcBorders>
              <w:bottom w:val="single" w:sz="18" w:space="0" w:color="auto"/>
            </w:tcBorders>
            <w:shd w:val="clear" w:color="auto" w:fill="auto"/>
            <w:tcMar>
              <w:top w:w="100" w:type="dxa"/>
              <w:left w:w="100" w:type="dxa"/>
              <w:bottom w:w="100" w:type="dxa"/>
              <w:right w:w="100" w:type="dxa"/>
            </w:tcMar>
            <w:vAlign w:val="center"/>
          </w:tcPr>
          <w:p w14:paraId="2D5F203E" w14:textId="4E6BC906" w:rsidR="00E26164" w:rsidRPr="00931795" w:rsidRDefault="00E26164" w:rsidP="00D25422">
            <w:pPr>
              <w:widowControl w:val="0"/>
              <w:jc w:val="center"/>
              <w:rPr>
                <w:sz w:val="15"/>
                <w:szCs w:val="15"/>
              </w:rPr>
            </w:pPr>
            <w:r w:rsidRPr="00931795">
              <w:rPr>
                <w:sz w:val="15"/>
                <w:szCs w:val="15"/>
              </w:rPr>
              <w:t>5.2 (0.44)</w:t>
            </w:r>
          </w:p>
        </w:tc>
        <w:tc>
          <w:tcPr>
            <w:tcW w:w="719" w:type="dxa"/>
            <w:tcBorders>
              <w:bottom w:val="single" w:sz="18" w:space="0" w:color="auto"/>
            </w:tcBorders>
            <w:shd w:val="clear" w:color="auto" w:fill="auto"/>
            <w:tcMar>
              <w:top w:w="100" w:type="dxa"/>
              <w:left w:w="100" w:type="dxa"/>
              <w:bottom w:w="100" w:type="dxa"/>
              <w:right w:w="100" w:type="dxa"/>
            </w:tcMar>
            <w:vAlign w:val="center"/>
          </w:tcPr>
          <w:p w14:paraId="3564ADA9" w14:textId="38723BCD" w:rsidR="00E26164" w:rsidRPr="00457E21" w:rsidRDefault="00E26164" w:rsidP="00D25422">
            <w:pPr>
              <w:widowControl w:val="0"/>
              <w:jc w:val="center"/>
              <w:rPr>
                <w:b/>
                <w:sz w:val="15"/>
                <w:szCs w:val="15"/>
              </w:rPr>
            </w:pPr>
            <w:r w:rsidRPr="00457E21">
              <w:rPr>
                <w:b/>
                <w:sz w:val="15"/>
                <w:szCs w:val="15"/>
              </w:rPr>
              <w:t>*12.5 (0.038</w:t>
            </w:r>
          </w:p>
        </w:tc>
        <w:tc>
          <w:tcPr>
            <w:tcW w:w="719" w:type="dxa"/>
            <w:tcBorders>
              <w:top w:val="single" w:sz="8" w:space="0" w:color="000000"/>
              <w:bottom w:val="single" w:sz="18" w:space="0" w:color="auto"/>
              <w:right w:val="single" w:sz="18" w:space="0" w:color="auto"/>
            </w:tcBorders>
            <w:shd w:val="clear" w:color="auto" w:fill="auto"/>
            <w:tcMar>
              <w:top w:w="100" w:type="dxa"/>
              <w:left w:w="100" w:type="dxa"/>
              <w:bottom w:w="100" w:type="dxa"/>
              <w:right w:w="100" w:type="dxa"/>
            </w:tcMar>
            <w:vAlign w:val="center"/>
          </w:tcPr>
          <w:p w14:paraId="7266FCA4" w14:textId="77777777" w:rsidR="00E26164" w:rsidRPr="003A1842" w:rsidRDefault="00E26164" w:rsidP="00D25422">
            <w:pPr>
              <w:widowControl w:val="0"/>
              <w:jc w:val="center"/>
              <w:rPr>
                <w:sz w:val="15"/>
                <w:szCs w:val="15"/>
              </w:rPr>
            </w:pPr>
            <w:r w:rsidRPr="003A1842">
              <w:rPr>
                <w:sz w:val="15"/>
                <w:szCs w:val="15"/>
              </w:rPr>
              <w:t>-</w:t>
            </w:r>
          </w:p>
        </w:tc>
      </w:tr>
      <w:tr w:rsidR="00E26164" w14:paraId="32C818A1" w14:textId="77777777" w:rsidTr="00D25422">
        <w:trPr>
          <w:trHeight w:val="23"/>
        </w:trPr>
        <w:tc>
          <w:tcPr>
            <w:tcW w:w="772" w:type="dxa"/>
            <w:tcBorders>
              <w:top w:val="single" w:sz="4" w:space="0" w:color="auto"/>
              <w:right w:val="single" w:sz="8" w:space="0" w:color="000000"/>
            </w:tcBorders>
            <w:shd w:val="clear" w:color="auto" w:fill="auto"/>
            <w:vAlign w:val="center"/>
          </w:tcPr>
          <w:p w14:paraId="49649033" w14:textId="77777777" w:rsidR="00E26164" w:rsidRPr="006F0399" w:rsidRDefault="00E26164" w:rsidP="00D25422">
            <w:pPr>
              <w:widowControl w:val="0"/>
              <w:jc w:val="center"/>
              <w:rPr>
                <w:b/>
                <w:sz w:val="22"/>
                <w:szCs w:val="18"/>
              </w:rPr>
            </w:pPr>
          </w:p>
        </w:tc>
        <w:tc>
          <w:tcPr>
            <w:tcW w:w="682" w:type="dxa"/>
            <w:tcBorders>
              <w:top w:val="single" w:sz="4" w:space="0" w:color="auto"/>
              <w:right w:val="single" w:sz="18" w:space="0" w:color="auto"/>
            </w:tcBorders>
            <w:shd w:val="clear" w:color="auto" w:fill="auto"/>
            <w:tcMar>
              <w:top w:w="100" w:type="dxa"/>
              <w:left w:w="100" w:type="dxa"/>
              <w:bottom w:w="100" w:type="dxa"/>
              <w:right w:w="100" w:type="dxa"/>
            </w:tcMar>
            <w:vAlign w:val="center"/>
          </w:tcPr>
          <w:p w14:paraId="31FCC514" w14:textId="77777777" w:rsidR="00E26164" w:rsidRPr="00C22AEE" w:rsidRDefault="00E26164" w:rsidP="00D25422">
            <w:pPr>
              <w:widowControl w:val="0"/>
              <w:jc w:val="center"/>
              <w:rPr>
                <w:b/>
                <w:sz w:val="20"/>
                <w:szCs w:val="20"/>
              </w:rPr>
            </w:pPr>
          </w:p>
        </w:tc>
        <w:tc>
          <w:tcPr>
            <w:tcW w:w="4052" w:type="dxa"/>
            <w:gridSpan w:val="10"/>
            <w:tcBorders>
              <w:top w:val="single" w:sz="18" w:space="0" w:color="auto"/>
              <w:left w:val="single" w:sz="18" w:space="0" w:color="auto"/>
              <w:bottom w:val="single" w:sz="4" w:space="0" w:color="000000"/>
              <w:right w:val="single" w:sz="18" w:space="0" w:color="auto"/>
            </w:tcBorders>
            <w:shd w:val="clear" w:color="auto" w:fill="auto"/>
            <w:tcMar>
              <w:top w:w="100" w:type="dxa"/>
              <w:left w:w="100" w:type="dxa"/>
              <w:bottom w:w="100" w:type="dxa"/>
              <w:right w:w="100" w:type="dxa"/>
            </w:tcMar>
            <w:vAlign w:val="center"/>
          </w:tcPr>
          <w:p w14:paraId="75F87C45" w14:textId="20201904" w:rsidR="00E26164" w:rsidRPr="003A1842" w:rsidRDefault="00E26164" w:rsidP="00D25422">
            <w:pPr>
              <w:widowControl w:val="0"/>
              <w:jc w:val="center"/>
              <w:rPr>
                <w:sz w:val="15"/>
                <w:szCs w:val="15"/>
              </w:rPr>
            </w:pPr>
            <w:r w:rsidRPr="003A1842">
              <w:rPr>
                <w:i/>
                <w:sz w:val="20"/>
                <w:szCs w:val="20"/>
              </w:rPr>
              <w:t>Male gametes</w:t>
            </w:r>
          </w:p>
        </w:tc>
        <w:tc>
          <w:tcPr>
            <w:tcW w:w="4227" w:type="dxa"/>
            <w:gridSpan w:val="6"/>
            <w:tcBorders>
              <w:top w:val="single" w:sz="18" w:space="0" w:color="auto"/>
              <w:left w:val="single" w:sz="18" w:space="0" w:color="auto"/>
              <w:bottom w:val="single" w:sz="4" w:space="0" w:color="000000"/>
              <w:right w:val="single" w:sz="18" w:space="0" w:color="auto"/>
            </w:tcBorders>
            <w:shd w:val="clear" w:color="auto" w:fill="auto"/>
            <w:tcMar>
              <w:top w:w="100" w:type="dxa"/>
              <w:left w:w="100" w:type="dxa"/>
              <w:bottom w:w="100" w:type="dxa"/>
              <w:right w:w="100" w:type="dxa"/>
            </w:tcMar>
            <w:vAlign w:val="center"/>
          </w:tcPr>
          <w:p w14:paraId="18954D6D" w14:textId="11DF548D" w:rsidR="00E26164" w:rsidRPr="003A1842" w:rsidRDefault="00E26164" w:rsidP="00D25422">
            <w:pPr>
              <w:widowControl w:val="0"/>
              <w:jc w:val="center"/>
              <w:rPr>
                <w:sz w:val="15"/>
                <w:szCs w:val="15"/>
              </w:rPr>
            </w:pPr>
            <w:r w:rsidRPr="003A1842">
              <w:rPr>
                <w:i/>
                <w:sz w:val="20"/>
                <w:szCs w:val="20"/>
              </w:rPr>
              <w:t>Female gametes</w:t>
            </w:r>
          </w:p>
        </w:tc>
      </w:tr>
      <w:tr w:rsidR="00E26164" w14:paraId="395706AF" w14:textId="77777777" w:rsidTr="00D25422">
        <w:trPr>
          <w:trHeight w:val="20"/>
        </w:trPr>
        <w:tc>
          <w:tcPr>
            <w:tcW w:w="772" w:type="dxa"/>
            <w:vMerge w:val="restart"/>
            <w:tcBorders>
              <w:top w:val="single" w:sz="4" w:space="0" w:color="auto"/>
              <w:right w:val="single" w:sz="8" w:space="0" w:color="000000"/>
            </w:tcBorders>
            <w:shd w:val="clear" w:color="auto" w:fill="auto"/>
            <w:vAlign w:val="center"/>
          </w:tcPr>
          <w:p w14:paraId="387E81C3" w14:textId="5DB7C45F" w:rsidR="00E26164" w:rsidRPr="006F0399" w:rsidRDefault="00E26164" w:rsidP="00D25422">
            <w:pPr>
              <w:widowControl w:val="0"/>
              <w:jc w:val="center"/>
              <w:rPr>
                <w:b/>
                <w:sz w:val="22"/>
                <w:szCs w:val="18"/>
              </w:rPr>
            </w:pPr>
            <w:r w:rsidRPr="006F0399">
              <w:rPr>
                <w:b/>
                <w:sz w:val="22"/>
                <w:szCs w:val="18"/>
              </w:rPr>
              <w:t>6°C</w:t>
            </w:r>
          </w:p>
        </w:tc>
        <w:tc>
          <w:tcPr>
            <w:tcW w:w="682" w:type="dxa"/>
            <w:tcBorders>
              <w:top w:val="single" w:sz="4" w:space="0" w:color="auto"/>
              <w:right w:val="single" w:sz="18" w:space="0" w:color="auto"/>
            </w:tcBorders>
            <w:shd w:val="clear" w:color="auto" w:fill="auto"/>
            <w:tcMar>
              <w:top w:w="100" w:type="dxa"/>
              <w:left w:w="100" w:type="dxa"/>
              <w:bottom w:w="100" w:type="dxa"/>
              <w:right w:w="100" w:type="dxa"/>
            </w:tcMar>
            <w:vAlign w:val="center"/>
          </w:tcPr>
          <w:p w14:paraId="4E1A1079" w14:textId="2B962F20" w:rsidR="00E26164" w:rsidRPr="00C22AEE" w:rsidRDefault="00E26164" w:rsidP="00D25422">
            <w:pPr>
              <w:widowControl w:val="0"/>
              <w:jc w:val="center"/>
              <w:rPr>
                <w:b/>
                <w:sz w:val="20"/>
                <w:szCs w:val="20"/>
              </w:rPr>
            </w:pPr>
            <w:r w:rsidRPr="00C22AEE">
              <w:rPr>
                <w:b/>
                <w:sz w:val="20"/>
                <w:szCs w:val="20"/>
              </w:rPr>
              <w:t>Pre</w:t>
            </w:r>
          </w:p>
        </w:tc>
        <w:tc>
          <w:tcPr>
            <w:tcW w:w="715" w:type="dxa"/>
            <w:tcBorders>
              <w:top w:val="single" w:sz="4" w:space="0" w:color="000000"/>
              <w:left w:val="single" w:sz="18" w:space="0" w:color="auto"/>
              <w:bottom w:val="single" w:sz="8" w:space="0" w:color="000000"/>
              <w:right w:val="single" w:sz="8" w:space="0" w:color="000000"/>
            </w:tcBorders>
            <w:shd w:val="clear" w:color="auto" w:fill="auto"/>
            <w:tcMar>
              <w:top w:w="100" w:type="dxa"/>
              <w:left w:w="100" w:type="dxa"/>
              <w:bottom w:w="100" w:type="dxa"/>
              <w:right w:w="100" w:type="dxa"/>
            </w:tcMar>
            <w:vAlign w:val="center"/>
          </w:tcPr>
          <w:p w14:paraId="58F6D323" w14:textId="77777777" w:rsidR="00E26164" w:rsidRPr="003A1842" w:rsidRDefault="00E26164" w:rsidP="00D25422">
            <w:pPr>
              <w:widowControl w:val="0"/>
              <w:jc w:val="center"/>
              <w:rPr>
                <w:sz w:val="15"/>
                <w:szCs w:val="15"/>
              </w:rPr>
            </w:pPr>
            <w:r w:rsidRPr="003A1842">
              <w:rPr>
                <w:sz w:val="15"/>
                <w:szCs w:val="15"/>
              </w:rPr>
              <w:t>-</w:t>
            </w:r>
          </w:p>
        </w:tc>
        <w:tc>
          <w:tcPr>
            <w:tcW w:w="677" w:type="dxa"/>
            <w:gridSpan w:val="2"/>
            <w:tcBorders>
              <w:top w:val="single" w:sz="4" w:space="0" w:color="000000"/>
              <w:left w:val="single" w:sz="8" w:space="0" w:color="000000"/>
              <w:bottom w:val="single" w:sz="8" w:space="0" w:color="000000"/>
              <w:right w:val="nil"/>
            </w:tcBorders>
            <w:shd w:val="clear" w:color="auto" w:fill="auto"/>
            <w:tcMar>
              <w:top w:w="100" w:type="dxa"/>
              <w:left w:w="100" w:type="dxa"/>
              <w:bottom w:w="100" w:type="dxa"/>
              <w:right w:w="100" w:type="dxa"/>
            </w:tcMar>
            <w:vAlign w:val="center"/>
          </w:tcPr>
          <w:p w14:paraId="100ED61C" w14:textId="77777777" w:rsidR="00E26164" w:rsidRPr="003A1842" w:rsidRDefault="00E26164" w:rsidP="00D25422">
            <w:pPr>
              <w:widowControl w:val="0"/>
              <w:jc w:val="center"/>
              <w:rPr>
                <w:b/>
                <w:sz w:val="15"/>
                <w:szCs w:val="15"/>
              </w:rPr>
            </w:pPr>
          </w:p>
        </w:tc>
        <w:tc>
          <w:tcPr>
            <w:tcW w:w="675" w:type="dxa"/>
            <w:gridSpan w:val="3"/>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2438B555" w14:textId="77777777" w:rsidR="00E26164" w:rsidRPr="003A1842" w:rsidRDefault="00E26164" w:rsidP="00D25422">
            <w:pPr>
              <w:widowControl w:val="0"/>
              <w:jc w:val="center"/>
              <w:rPr>
                <w:b/>
                <w:sz w:val="15"/>
                <w:szCs w:val="15"/>
              </w:rPr>
            </w:pPr>
          </w:p>
        </w:tc>
        <w:tc>
          <w:tcPr>
            <w:tcW w:w="659" w:type="dxa"/>
            <w:gridSpan w:val="2"/>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2E914A75" w14:textId="77777777" w:rsidR="00E26164" w:rsidRPr="003A1842" w:rsidRDefault="00E26164" w:rsidP="00D25422">
            <w:pPr>
              <w:widowControl w:val="0"/>
              <w:tabs>
                <w:tab w:val="center" w:pos="230"/>
              </w:tabs>
              <w:jc w:val="center"/>
              <w:rPr>
                <w:b/>
                <w:sz w:val="15"/>
                <w:szCs w:val="15"/>
              </w:rPr>
            </w:pPr>
          </w:p>
        </w:tc>
        <w:tc>
          <w:tcPr>
            <w:tcW w:w="662" w:type="dxa"/>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16E23669" w14:textId="77777777" w:rsidR="00E26164" w:rsidRPr="003A1842" w:rsidRDefault="00E26164" w:rsidP="00D25422">
            <w:pPr>
              <w:widowControl w:val="0"/>
              <w:jc w:val="center"/>
              <w:rPr>
                <w:sz w:val="15"/>
                <w:szCs w:val="15"/>
              </w:rPr>
            </w:pPr>
          </w:p>
        </w:tc>
        <w:tc>
          <w:tcPr>
            <w:tcW w:w="664" w:type="dxa"/>
            <w:tcBorders>
              <w:top w:val="single" w:sz="4" w:space="0" w:color="000000"/>
              <w:left w:val="nil"/>
              <w:bottom w:val="nil"/>
              <w:right w:val="single" w:sz="18" w:space="0" w:color="auto"/>
            </w:tcBorders>
            <w:shd w:val="clear" w:color="auto" w:fill="auto"/>
            <w:tcMar>
              <w:top w:w="100" w:type="dxa"/>
              <w:left w:w="100" w:type="dxa"/>
              <w:bottom w:w="100" w:type="dxa"/>
              <w:right w:w="100" w:type="dxa"/>
            </w:tcMar>
            <w:vAlign w:val="center"/>
          </w:tcPr>
          <w:p w14:paraId="7F4E0DB1" w14:textId="77777777" w:rsidR="00E26164" w:rsidRPr="003A1842" w:rsidRDefault="00E26164" w:rsidP="00D25422">
            <w:pPr>
              <w:widowControl w:val="0"/>
              <w:jc w:val="center"/>
              <w:rPr>
                <w:sz w:val="15"/>
                <w:szCs w:val="15"/>
              </w:rPr>
            </w:pPr>
          </w:p>
        </w:tc>
        <w:tc>
          <w:tcPr>
            <w:tcW w:w="670" w:type="dxa"/>
            <w:tcBorders>
              <w:top w:val="nil"/>
              <w:left w:val="single" w:sz="18" w:space="0" w:color="auto"/>
              <w:right w:val="single" w:sz="8" w:space="0" w:color="000000"/>
            </w:tcBorders>
            <w:shd w:val="clear" w:color="auto" w:fill="auto"/>
            <w:tcMar>
              <w:top w:w="100" w:type="dxa"/>
              <w:left w:w="100" w:type="dxa"/>
              <w:bottom w:w="100" w:type="dxa"/>
              <w:right w:w="100" w:type="dxa"/>
            </w:tcMar>
            <w:vAlign w:val="center"/>
          </w:tcPr>
          <w:p w14:paraId="1D130BAF" w14:textId="77777777" w:rsidR="00E26164" w:rsidRPr="003A1842" w:rsidRDefault="00E26164" w:rsidP="00D25422">
            <w:pPr>
              <w:widowControl w:val="0"/>
              <w:jc w:val="center"/>
              <w:rPr>
                <w:sz w:val="15"/>
                <w:szCs w:val="15"/>
              </w:rPr>
            </w:pPr>
            <w:r w:rsidRPr="003A1842">
              <w:rPr>
                <w:sz w:val="15"/>
                <w:szCs w:val="15"/>
              </w:rPr>
              <w:t>-</w:t>
            </w:r>
          </w:p>
        </w:tc>
        <w:tc>
          <w:tcPr>
            <w:tcW w:w="681"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center"/>
          </w:tcPr>
          <w:p w14:paraId="7EB3E7DA" w14:textId="77777777" w:rsidR="00E26164" w:rsidRPr="003A1842" w:rsidRDefault="00E26164" w:rsidP="00D25422">
            <w:pPr>
              <w:widowControl w:val="0"/>
              <w:jc w:val="center"/>
              <w:rPr>
                <w:sz w:val="15"/>
                <w:szCs w:val="15"/>
              </w:rPr>
            </w:pPr>
          </w:p>
        </w:tc>
        <w:tc>
          <w:tcPr>
            <w:tcW w:w="719" w:type="dxa"/>
            <w:tcBorders>
              <w:top w:val="nil"/>
              <w:left w:val="nil"/>
              <w:bottom w:val="nil"/>
              <w:right w:val="nil"/>
            </w:tcBorders>
            <w:shd w:val="clear" w:color="auto" w:fill="auto"/>
            <w:tcMar>
              <w:top w:w="100" w:type="dxa"/>
              <w:left w:w="100" w:type="dxa"/>
              <w:bottom w:w="100" w:type="dxa"/>
              <w:right w:w="100" w:type="dxa"/>
            </w:tcMar>
            <w:vAlign w:val="center"/>
          </w:tcPr>
          <w:p w14:paraId="56D287A3" w14:textId="77777777" w:rsidR="00E26164" w:rsidRPr="003A1842" w:rsidRDefault="00E26164" w:rsidP="00D25422">
            <w:pPr>
              <w:widowControl w:val="0"/>
              <w:jc w:val="center"/>
              <w:rPr>
                <w:sz w:val="15"/>
                <w:szCs w:val="15"/>
              </w:rPr>
            </w:pPr>
          </w:p>
        </w:tc>
        <w:tc>
          <w:tcPr>
            <w:tcW w:w="719" w:type="dxa"/>
            <w:tcBorders>
              <w:top w:val="nil"/>
              <w:left w:val="nil"/>
              <w:bottom w:val="nil"/>
              <w:right w:val="nil"/>
            </w:tcBorders>
            <w:shd w:val="clear" w:color="auto" w:fill="auto"/>
            <w:tcMar>
              <w:top w:w="100" w:type="dxa"/>
              <w:left w:w="100" w:type="dxa"/>
              <w:bottom w:w="100" w:type="dxa"/>
              <w:right w:w="100" w:type="dxa"/>
            </w:tcMar>
            <w:vAlign w:val="center"/>
          </w:tcPr>
          <w:p w14:paraId="65AA525A" w14:textId="77777777" w:rsidR="00E26164" w:rsidRPr="003A1842" w:rsidRDefault="00E26164" w:rsidP="00D25422">
            <w:pPr>
              <w:widowControl w:val="0"/>
              <w:jc w:val="center"/>
              <w:rPr>
                <w:sz w:val="15"/>
                <w:szCs w:val="15"/>
              </w:rPr>
            </w:pPr>
          </w:p>
        </w:tc>
        <w:tc>
          <w:tcPr>
            <w:tcW w:w="719" w:type="dxa"/>
            <w:tcBorders>
              <w:top w:val="nil"/>
              <w:left w:val="nil"/>
              <w:bottom w:val="nil"/>
              <w:right w:val="nil"/>
            </w:tcBorders>
            <w:shd w:val="clear" w:color="auto" w:fill="auto"/>
            <w:tcMar>
              <w:top w:w="100" w:type="dxa"/>
              <w:left w:w="100" w:type="dxa"/>
              <w:bottom w:w="100" w:type="dxa"/>
              <w:right w:w="100" w:type="dxa"/>
            </w:tcMar>
            <w:vAlign w:val="center"/>
          </w:tcPr>
          <w:p w14:paraId="5226343D" w14:textId="77777777" w:rsidR="00E26164" w:rsidRPr="003A1842" w:rsidRDefault="00E26164" w:rsidP="00D25422">
            <w:pPr>
              <w:widowControl w:val="0"/>
              <w:jc w:val="center"/>
              <w:rPr>
                <w:sz w:val="15"/>
                <w:szCs w:val="15"/>
              </w:rPr>
            </w:pPr>
          </w:p>
        </w:tc>
        <w:tc>
          <w:tcPr>
            <w:tcW w:w="719" w:type="dxa"/>
            <w:tcBorders>
              <w:top w:val="nil"/>
              <w:left w:val="nil"/>
              <w:bottom w:val="nil"/>
              <w:right w:val="single" w:sz="18" w:space="0" w:color="auto"/>
            </w:tcBorders>
            <w:shd w:val="clear" w:color="auto" w:fill="auto"/>
            <w:tcMar>
              <w:top w:w="100" w:type="dxa"/>
              <w:left w:w="100" w:type="dxa"/>
              <w:bottom w:w="100" w:type="dxa"/>
              <w:right w:w="100" w:type="dxa"/>
            </w:tcMar>
            <w:vAlign w:val="center"/>
          </w:tcPr>
          <w:p w14:paraId="1EAEF76E" w14:textId="77777777" w:rsidR="00E26164" w:rsidRPr="003A1842" w:rsidRDefault="00E26164" w:rsidP="00D25422">
            <w:pPr>
              <w:widowControl w:val="0"/>
              <w:jc w:val="center"/>
              <w:rPr>
                <w:sz w:val="15"/>
                <w:szCs w:val="15"/>
              </w:rPr>
            </w:pPr>
          </w:p>
        </w:tc>
      </w:tr>
      <w:tr w:rsidR="00B0199F" w14:paraId="5EEFD617" w14:textId="77777777" w:rsidTr="00D25422">
        <w:trPr>
          <w:trHeight w:val="20"/>
        </w:trPr>
        <w:tc>
          <w:tcPr>
            <w:tcW w:w="772" w:type="dxa"/>
            <w:vMerge/>
            <w:tcBorders>
              <w:right w:val="single" w:sz="8" w:space="0" w:color="000000"/>
            </w:tcBorders>
            <w:shd w:val="clear" w:color="auto" w:fill="auto"/>
            <w:vAlign w:val="center"/>
          </w:tcPr>
          <w:p w14:paraId="33E5E356" w14:textId="77777777" w:rsidR="00B0199F" w:rsidRPr="006F0399" w:rsidRDefault="00B0199F" w:rsidP="00D25422">
            <w:pPr>
              <w:widowControl w:val="0"/>
              <w:jc w:val="center"/>
              <w:rPr>
                <w:b/>
                <w:sz w:val="22"/>
                <w:szCs w:val="18"/>
              </w:rPr>
            </w:pPr>
          </w:p>
        </w:tc>
        <w:tc>
          <w:tcPr>
            <w:tcW w:w="682" w:type="dxa"/>
            <w:tcBorders>
              <w:left w:val="single" w:sz="8" w:space="0" w:color="000000"/>
              <w:right w:val="single" w:sz="18" w:space="0" w:color="auto"/>
            </w:tcBorders>
            <w:shd w:val="clear" w:color="auto" w:fill="auto"/>
            <w:tcMar>
              <w:top w:w="100" w:type="dxa"/>
              <w:left w:w="100" w:type="dxa"/>
              <w:bottom w:w="100" w:type="dxa"/>
              <w:right w:w="100" w:type="dxa"/>
            </w:tcMar>
            <w:vAlign w:val="center"/>
          </w:tcPr>
          <w:p w14:paraId="05693F98" w14:textId="3799C660" w:rsidR="00B0199F" w:rsidRPr="00C22AEE" w:rsidRDefault="00B0199F" w:rsidP="00D25422">
            <w:pPr>
              <w:widowControl w:val="0"/>
              <w:jc w:val="center"/>
              <w:rPr>
                <w:b/>
                <w:sz w:val="20"/>
                <w:szCs w:val="20"/>
              </w:rPr>
            </w:pPr>
            <w:proofErr w:type="spellStart"/>
            <w:r w:rsidRPr="00C22AEE">
              <w:rPr>
                <w:b/>
                <w:sz w:val="20"/>
                <w:szCs w:val="20"/>
              </w:rPr>
              <w:t>Amb</w:t>
            </w:r>
            <w:proofErr w:type="spellEnd"/>
          </w:p>
        </w:tc>
        <w:tc>
          <w:tcPr>
            <w:tcW w:w="715" w:type="dxa"/>
            <w:tcBorders>
              <w:top w:val="single" w:sz="8" w:space="0" w:color="000000"/>
              <w:left w:val="single" w:sz="18" w:space="0" w:color="auto"/>
            </w:tcBorders>
            <w:shd w:val="clear" w:color="auto" w:fill="auto"/>
            <w:tcMar>
              <w:top w:w="100" w:type="dxa"/>
              <w:left w:w="100" w:type="dxa"/>
              <w:bottom w:w="100" w:type="dxa"/>
              <w:right w:w="100" w:type="dxa"/>
            </w:tcMar>
            <w:vAlign w:val="center"/>
          </w:tcPr>
          <w:p w14:paraId="31B96C3B" w14:textId="5B235C2F" w:rsidR="00B0199F" w:rsidRPr="00457E21" w:rsidRDefault="00B0199F" w:rsidP="00D25422">
            <w:pPr>
              <w:widowControl w:val="0"/>
              <w:jc w:val="center"/>
              <w:rPr>
                <w:b/>
                <w:sz w:val="15"/>
                <w:szCs w:val="15"/>
              </w:rPr>
            </w:pPr>
            <w:r w:rsidRPr="00457E21">
              <w:rPr>
                <w:b/>
                <w:sz w:val="15"/>
                <w:szCs w:val="15"/>
              </w:rPr>
              <w:t>*24.2 (1.6e-3)</w:t>
            </w:r>
          </w:p>
        </w:tc>
        <w:tc>
          <w:tcPr>
            <w:tcW w:w="677" w:type="dxa"/>
            <w:gridSpan w:val="2"/>
            <w:tcBorders>
              <w:right w:val="single" w:sz="8" w:space="0" w:color="000000"/>
            </w:tcBorders>
            <w:shd w:val="clear" w:color="auto" w:fill="auto"/>
            <w:tcMar>
              <w:top w:w="100" w:type="dxa"/>
              <w:left w:w="100" w:type="dxa"/>
              <w:bottom w:w="100" w:type="dxa"/>
              <w:right w:w="100" w:type="dxa"/>
            </w:tcMar>
            <w:vAlign w:val="center"/>
          </w:tcPr>
          <w:p w14:paraId="3179EE3F" w14:textId="77777777" w:rsidR="00B0199F" w:rsidRPr="003A1842" w:rsidRDefault="00B0199F" w:rsidP="00D25422">
            <w:pPr>
              <w:widowControl w:val="0"/>
              <w:jc w:val="center"/>
              <w:rPr>
                <w:sz w:val="15"/>
                <w:szCs w:val="15"/>
              </w:rPr>
            </w:pPr>
            <w:r w:rsidRPr="003A1842">
              <w:rPr>
                <w:sz w:val="15"/>
                <w:szCs w:val="15"/>
              </w:rPr>
              <w:t>-</w:t>
            </w:r>
          </w:p>
        </w:tc>
        <w:tc>
          <w:tcPr>
            <w:tcW w:w="663" w:type="dxa"/>
            <w:gridSpan w:val="2"/>
            <w:tcBorders>
              <w:top w:val="nil"/>
              <w:left w:val="single" w:sz="8" w:space="0" w:color="000000"/>
              <w:bottom w:val="nil"/>
              <w:right w:val="nil"/>
            </w:tcBorders>
            <w:shd w:val="clear" w:color="auto" w:fill="auto"/>
            <w:tcMar>
              <w:top w:w="100" w:type="dxa"/>
              <w:left w:w="100" w:type="dxa"/>
              <w:bottom w:w="100" w:type="dxa"/>
              <w:right w:w="100" w:type="dxa"/>
            </w:tcMar>
            <w:vAlign w:val="center"/>
          </w:tcPr>
          <w:p w14:paraId="399F2465" w14:textId="77777777" w:rsidR="00B0199F" w:rsidRPr="003A1842" w:rsidRDefault="00B0199F" w:rsidP="00D25422">
            <w:pPr>
              <w:widowControl w:val="0"/>
              <w:jc w:val="center"/>
              <w:rPr>
                <w:sz w:val="20"/>
                <w:szCs w:val="20"/>
              </w:rPr>
            </w:pPr>
          </w:p>
        </w:tc>
        <w:tc>
          <w:tcPr>
            <w:tcW w:w="663" w:type="dxa"/>
            <w:gridSpan w:val="2"/>
            <w:tcBorders>
              <w:top w:val="nil"/>
              <w:left w:val="nil"/>
              <w:bottom w:val="nil"/>
              <w:right w:val="nil"/>
            </w:tcBorders>
            <w:shd w:val="clear" w:color="auto" w:fill="auto"/>
            <w:vAlign w:val="center"/>
          </w:tcPr>
          <w:p w14:paraId="2943F69B" w14:textId="77777777" w:rsidR="00B0199F" w:rsidRPr="003A1842" w:rsidRDefault="00B0199F" w:rsidP="00D25422">
            <w:pPr>
              <w:widowControl w:val="0"/>
              <w:jc w:val="center"/>
              <w:rPr>
                <w:sz w:val="20"/>
                <w:szCs w:val="20"/>
              </w:rPr>
            </w:pPr>
          </w:p>
        </w:tc>
        <w:tc>
          <w:tcPr>
            <w:tcW w:w="665" w:type="dxa"/>
            <w:gridSpan w:val="2"/>
            <w:tcBorders>
              <w:top w:val="nil"/>
              <w:left w:val="nil"/>
              <w:bottom w:val="nil"/>
              <w:right w:val="nil"/>
            </w:tcBorders>
            <w:shd w:val="clear" w:color="auto" w:fill="auto"/>
            <w:vAlign w:val="center"/>
          </w:tcPr>
          <w:p w14:paraId="2F586FD4" w14:textId="77777777" w:rsidR="00B0199F" w:rsidRPr="003A1842" w:rsidRDefault="00B0199F" w:rsidP="00D25422">
            <w:pPr>
              <w:widowControl w:val="0"/>
              <w:jc w:val="center"/>
              <w:rPr>
                <w:sz w:val="20"/>
                <w:szCs w:val="20"/>
              </w:rPr>
            </w:pPr>
          </w:p>
        </w:tc>
        <w:tc>
          <w:tcPr>
            <w:tcW w:w="669" w:type="dxa"/>
            <w:tcBorders>
              <w:top w:val="nil"/>
              <w:left w:val="nil"/>
              <w:bottom w:val="nil"/>
              <w:right w:val="single" w:sz="18" w:space="0" w:color="auto"/>
            </w:tcBorders>
            <w:shd w:val="clear" w:color="auto" w:fill="auto"/>
            <w:vAlign w:val="center"/>
          </w:tcPr>
          <w:p w14:paraId="2DB5C66C" w14:textId="6C2DF1B9" w:rsidR="00B0199F" w:rsidRPr="003A1842" w:rsidRDefault="00B0199F" w:rsidP="00D25422">
            <w:pPr>
              <w:widowControl w:val="0"/>
              <w:jc w:val="center"/>
              <w:rPr>
                <w:sz w:val="20"/>
                <w:szCs w:val="20"/>
              </w:rPr>
            </w:pPr>
          </w:p>
        </w:tc>
        <w:tc>
          <w:tcPr>
            <w:tcW w:w="670" w:type="dxa"/>
            <w:tcBorders>
              <w:left w:val="single" w:sz="18" w:space="0" w:color="auto"/>
            </w:tcBorders>
            <w:shd w:val="clear" w:color="auto" w:fill="auto"/>
            <w:tcMar>
              <w:top w:w="100" w:type="dxa"/>
              <w:left w:w="100" w:type="dxa"/>
              <w:bottom w:w="100" w:type="dxa"/>
              <w:right w:w="100" w:type="dxa"/>
            </w:tcMar>
            <w:vAlign w:val="center"/>
          </w:tcPr>
          <w:p w14:paraId="127FA09B" w14:textId="2B5E61D0" w:rsidR="00B0199F" w:rsidRPr="003A1842" w:rsidRDefault="00B0199F" w:rsidP="00D25422">
            <w:pPr>
              <w:widowControl w:val="0"/>
              <w:jc w:val="center"/>
              <w:rPr>
                <w:sz w:val="15"/>
                <w:szCs w:val="15"/>
              </w:rPr>
            </w:pPr>
            <w:r w:rsidRPr="003A1842">
              <w:rPr>
                <w:sz w:val="15"/>
                <w:szCs w:val="15"/>
              </w:rPr>
              <w:t>6.3 (0.18)</w:t>
            </w:r>
          </w:p>
        </w:tc>
        <w:tc>
          <w:tcPr>
            <w:tcW w:w="681" w:type="dxa"/>
            <w:tcBorders>
              <w:top w:val="single" w:sz="8" w:space="0" w:color="000000"/>
              <w:right w:val="single" w:sz="8" w:space="0" w:color="000000"/>
            </w:tcBorders>
            <w:shd w:val="clear" w:color="auto" w:fill="auto"/>
            <w:tcMar>
              <w:top w:w="100" w:type="dxa"/>
              <w:left w:w="100" w:type="dxa"/>
              <w:bottom w:w="100" w:type="dxa"/>
              <w:right w:w="100" w:type="dxa"/>
            </w:tcMar>
            <w:vAlign w:val="center"/>
          </w:tcPr>
          <w:p w14:paraId="45411EA5" w14:textId="0FE50538" w:rsidR="00B0199F" w:rsidRPr="003A1842" w:rsidRDefault="00B0199F" w:rsidP="00D25422">
            <w:pPr>
              <w:widowControl w:val="0"/>
              <w:jc w:val="center"/>
              <w:rPr>
                <w:sz w:val="15"/>
                <w:szCs w:val="15"/>
              </w:rPr>
            </w:pPr>
            <w:r>
              <w:rPr>
                <w:sz w:val="15"/>
                <w:szCs w:val="15"/>
              </w:rPr>
              <w:t>-</w:t>
            </w:r>
          </w:p>
        </w:tc>
        <w:tc>
          <w:tcPr>
            <w:tcW w:w="719" w:type="dxa"/>
            <w:tcBorders>
              <w:top w:val="nil"/>
              <w:left w:val="single" w:sz="8" w:space="0" w:color="000000"/>
              <w:bottom w:val="nil"/>
              <w:right w:val="nil"/>
            </w:tcBorders>
            <w:shd w:val="clear" w:color="auto" w:fill="auto"/>
            <w:tcMar>
              <w:top w:w="100" w:type="dxa"/>
              <w:left w:w="100" w:type="dxa"/>
              <w:bottom w:w="100" w:type="dxa"/>
              <w:right w:w="100" w:type="dxa"/>
            </w:tcMar>
            <w:vAlign w:val="center"/>
          </w:tcPr>
          <w:p w14:paraId="5D0869A6" w14:textId="77777777" w:rsidR="00B0199F" w:rsidRPr="003A1842" w:rsidRDefault="00B0199F" w:rsidP="00D25422">
            <w:pPr>
              <w:widowControl w:val="0"/>
              <w:jc w:val="center"/>
              <w:rPr>
                <w:sz w:val="20"/>
                <w:szCs w:val="20"/>
              </w:rPr>
            </w:pPr>
          </w:p>
        </w:tc>
        <w:tc>
          <w:tcPr>
            <w:tcW w:w="719" w:type="dxa"/>
            <w:tcBorders>
              <w:top w:val="nil"/>
              <w:left w:val="nil"/>
              <w:bottom w:val="nil"/>
              <w:right w:val="nil"/>
            </w:tcBorders>
            <w:shd w:val="clear" w:color="auto" w:fill="auto"/>
            <w:vAlign w:val="center"/>
          </w:tcPr>
          <w:p w14:paraId="26C9E298" w14:textId="77777777" w:rsidR="00B0199F" w:rsidRPr="003A1842" w:rsidRDefault="00B0199F" w:rsidP="00D25422">
            <w:pPr>
              <w:widowControl w:val="0"/>
              <w:jc w:val="center"/>
              <w:rPr>
                <w:sz w:val="20"/>
                <w:szCs w:val="20"/>
              </w:rPr>
            </w:pPr>
          </w:p>
        </w:tc>
        <w:tc>
          <w:tcPr>
            <w:tcW w:w="719" w:type="dxa"/>
            <w:tcBorders>
              <w:top w:val="nil"/>
              <w:left w:val="nil"/>
              <w:bottom w:val="nil"/>
              <w:right w:val="nil"/>
            </w:tcBorders>
            <w:shd w:val="clear" w:color="auto" w:fill="auto"/>
            <w:vAlign w:val="center"/>
          </w:tcPr>
          <w:p w14:paraId="2A069A2A" w14:textId="77777777" w:rsidR="00B0199F" w:rsidRPr="003A1842" w:rsidRDefault="00B0199F" w:rsidP="00D25422">
            <w:pPr>
              <w:widowControl w:val="0"/>
              <w:jc w:val="center"/>
              <w:rPr>
                <w:sz w:val="20"/>
                <w:szCs w:val="20"/>
              </w:rPr>
            </w:pPr>
          </w:p>
        </w:tc>
        <w:tc>
          <w:tcPr>
            <w:tcW w:w="719" w:type="dxa"/>
            <w:tcBorders>
              <w:top w:val="nil"/>
              <w:left w:val="nil"/>
              <w:bottom w:val="nil"/>
              <w:right w:val="single" w:sz="18" w:space="0" w:color="auto"/>
            </w:tcBorders>
            <w:shd w:val="clear" w:color="auto" w:fill="auto"/>
            <w:vAlign w:val="center"/>
          </w:tcPr>
          <w:p w14:paraId="6E416C97" w14:textId="7A1043DD" w:rsidR="00B0199F" w:rsidRPr="003A1842" w:rsidRDefault="00B0199F" w:rsidP="00D25422">
            <w:pPr>
              <w:widowControl w:val="0"/>
              <w:jc w:val="center"/>
              <w:rPr>
                <w:sz w:val="20"/>
                <w:szCs w:val="20"/>
              </w:rPr>
            </w:pPr>
          </w:p>
        </w:tc>
      </w:tr>
      <w:tr w:rsidR="00E26164" w14:paraId="3D0D827C" w14:textId="77777777" w:rsidTr="00D25422">
        <w:trPr>
          <w:trHeight w:val="20"/>
        </w:trPr>
        <w:tc>
          <w:tcPr>
            <w:tcW w:w="772" w:type="dxa"/>
            <w:vMerge/>
            <w:tcBorders>
              <w:right w:val="single" w:sz="8" w:space="0" w:color="000000"/>
            </w:tcBorders>
            <w:shd w:val="clear" w:color="auto" w:fill="auto"/>
            <w:vAlign w:val="center"/>
          </w:tcPr>
          <w:p w14:paraId="1B0695DF" w14:textId="77777777" w:rsidR="00E26164" w:rsidRPr="006F0399" w:rsidRDefault="00E26164" w:rsidP="00D25422">
            <w:pPr>
              <w:widowControl w:val="0"/>
              <w:jc w:val="center"/>
              <w:rPr>
                <w:b/>
                <w:sz w:val="22"/>
                <w:szCs w:val="18"/>
              </w:rPr>
            </w:pPr>
          </w:p>
        </w:tc>
        <w:tc>
          <w:tcPr>
            <w:tcW w:w="682" w:type="dxa"/>
            <w:tcBorders>
              <w:left w:val="single" w:sz="8" w:space="0" w:color="000000"/>
              <w:right w:val="single" w:sz="18" w:space="0" w:color="auto"/>
            </w:tcBorders>
            <w:shd w:val="clear" w:color="auto" w:fill="auto"/>
            <w:tcMar>
              <w:top w:w="100" w:type="dxa"/>
              <w:left w:w="100" w:type="dxa"/>
              <w:bottom w:w="100" w:type="dxa"/>
              <w:right w:w="100" w:type="dxa"/>
            </w:tcMar>
            <w:vAlign w:val="center"/>
          </w:tcPr>
          <w:p w14:paraId="1FFF7890" w14:textId="67CB610E" w:rsidR="00E26164" w:rsidRPr="00C22AEE" w:rsidRDefault="00E26164" w:rsidP="00D25422">
            <w:pPr>
              <w:widowControl w:val="0"/>
              <w:jc w:val="center"/>
              <w:rPr>
                <w:b/>
                <w:sz w:val="20"/>
                <w:szCs w:val="20"/>
              </w:rPr>
            </w:pPr>
            <w:r w:rsidRPr="00C22AEE">
              <w:rPr>
                <w:b/>
                <w:sz w:val="20"/>
                <w:szCs w:val="20"/>
              </w:rPr>
              <w:t>High</w:t>
            </w:r>
          </w:p>
        </w:tc>
        <w:tc>
          <w:tcPr>
            <w:tcW w:w="715" w:type="dxa"/>
            <w:tcBorders>
              <w:left w:val="single" w:sz="18" w:space="0" w:color="auto"/>
            </w:tcBorders>
            <w:shd w:val="clear" w:color="auto" w:fill="auto"/>
            <w:tcMar>
              <w:top w:w="100" w:type="dxa"/>
              <w:left w:w="100" w:type="dxa"/>
              <w:bottom w:w="100" w:type="dxa"/>
              <w:right w:w="100" w:type="dxa"/>
            </w:tcMar>
            <w:vAlign w:val="center"/>
          </w:tcPr>
          <w:p w14:paraId="26C0F5D2" w14:textId="769459C0" w:rsidR="00E26164" w:rsidRPr="00457E21" w:rsidRDefault="00E26164" w:rsidP="00D25422">
            <w:pPr>
              <w:widowControl w:val="0"/>
              <w:jc w:val="center"/>
              <w:rPr>
                <w:b/>
                <w:sz w:val="15"/>
                <w:szCs w:val="15"/>
              </w:rPr>
            </w:pPr>
            <w:r w:rsidRPr="00457E21">
              <w:rPr>
                <w:b/>
                <w:sz w:val="15"/>
                <w:szCs w:val="15"/>
              </w:rPr>
              <w:t>*15.2 (0.013)</w:t>
            </w:r>
          </w:p>
        </w:tc>
        <w:tc>
          <w:tcPr>
            <w:tcW w:w="677" w:type="dxa"/>
            <w:gridSpan w:val="2"/>
            <w:shd w:val="clear" w:color="auto" w:fill="auto"/>
            <w:tcMar>
              <w:top w:w="100" w:type="dxa"/>
              <w:left w:w="100" w:type="dxa"/>
              <w:bottom w:w="100" w:type="dxa"/>
              <w:right w:w="100" w:type="dxa"/>
            </w:tcMar>
            <w:vAlign w:val="center"/>
          </w:tcPr>
          <w:p w14:paraId="53A33408" w14:textId="316CF2FF" w:rsidR="00E26164" w:rsidRPr="003A1842" w:rsidRDefault="00E26164" w:rsidP="00D25422">
            <w:pPr>
              <w:widowControl w:val="0"/>
              <w:jc w:val="center"/>
              <w:rPr>
                <w:sz w:val="15"/>
                <w:szCs w:val="15"/>
              </w:rPr>
            </w:pPr>
            <w:r w:rsidRPr="003A1842">
              <w:rPr>
                <w:sz w:val="15"/>
                <w:szCs w:val="15"/>
              </w:rPr>
              <w:t>9.0 (0.071)</w:t>
            </w:r>
          </w:p>
        </w:tc>
        <w:tc>
          <w:tcPr>
            <w:tcW w:w="675" w:type="dxa"/>
            <w:gridSpan w:val="3"/>
            <w:tcBorders>
              <w:top w:val="single" w:sz="8" w:space="0" w:color="000000"/>
              <w:right w:val="single" w:sz="8" w:space="0" w:color="000000"/>
            </w:tcBorders>
            <w:shd w:val="clear" w:color="auto" w:fill="auto"/>
            <w:tcMar>
              <w:top w:w="100" w:type="dxa"/>
              <w:left w:w="100" w:type="dxa"/>
              <w:bottom w:w="100" w:type="dxa"/>
              <w:right w:w="100" w:type="dxa"/>
            </w:tcMar>
            <w:vAlign w:val="center"/>
          </w:tcPr>
          <w:p w14:paraId="37100055" w14:textId="77777777" w:rsidR="00E26164" w:rsidRPr="003A1842" w:rsidRDefault="00E26164" w:rsidP="00D25422">
            <w:pPr>
              <w:widowControl w:val="0"/>
              <w:jc w:val="center"/>
              <w:rPr>
                <w:sz w:val="15"/>
                <w:szCs w:val="15"/>
              </w:rPr>
            </w:pPr>
            <w:r w:rsidRPr="003A1842">
              <w:rPr>
                <w:sz w:val="15"/>
                <w:szCs w:val="15"/>
              </w:rPr>
              <w:t>-</w:t>
            </w:r>
          </w:p>
        </w:tc>
        <w:tc>
          <w:tcPr>
            <w:tcW w:w="659" w:type="dxa"/>
            <w:gridSpan w:val="2"/>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center"/>
          </w:tcPr>
          <w:p w14:paraId="7BE98628" w14:textId="77777777" w:rsidR="00E26164" w:rsidRPr="003A1842" w:rsidRDefault="00E26164" w:rsidP="00D25422">
            <w:pPr>
              <w:widowControl w:val="0"/>
              <w:jc w:val="center"/>
              <w:rPr>
                <w:sz w:val="15"/>
                <w:szCs w:val="15"/>
              </w:rPr>
            </w:pPr>
          </w:p>
        </w:tc>
        <w:tc>
          <w:tcPr>
            <w:tcW w:w="662" w:type="dxa"/>
            <w:tcBorders>
              <w:top w:val="nil"/>
              <w:left w:val="nil"/>
              <w:bottom w:val="nil"/>
              <w:right w:val="nil"/>
            </w:tcBorders>
            <w:shd w:val="clear" w:color="auto" w:fill="auto"/>
            <w:tcMar>
              <w:top w:w="100" w:type="dxa"/>
              <w:left w:w="100" w:type="dxa"/>
              <w:bottom w:w="100" w:type="dxa"/>
              <w:right w:w="100" w:type="dxa"/>
            </w:tcMar>
            <w:vAlign w:val="center"/>
          </w:tcPr>
          <w:p w14:paraId="48CC9F19" w14:textId="77777777" w:rsidR="00E26164" w:rsidRPr="003A1842" w:rsidRDefault="00E26164" w:rsidP="00D25422">
            <w:pPr>
              <w:widowControl w:val="0"/>
              <w:jc w:val="center"/>
              <w:rPr>
                <w:sz w:val="15"/>
                <w:szCs w:val="15"/>
              </w:rPr>
            </w:pPr>
          </w:p>
        </w:tc>
        <w:tc>
          <w:tcPr>
            <w:tcW w:w="664" w:type="dxa"/>
            <w:tcBorders>
              <w:top w:val="nil"/>
              <w:left w:val="nil"/>
              <w:bottom w:val="nil"/>
              <w:right w:val="single" w:sz="18" w:space="0" w:color="auto"/>
            </w:tcBorders>
            <w:shd w:val="clear" w:color="auto" w:fill="auto"/>
            <w:tcMar>
              <w:top w:w="100" w:type="dxa"/>
              <w:left w:w="100" w:type="dxa"/>
              <w:bottom w:w="100" w:type="dxa"/>
              <w:right w:w="100" w:type="dxa"/>
            </w:tcMar>
            <w:vAlign w:val="center"/>
          </w:tcPr>
          <w:p w14:paraId="6D005194" w14:textId="77777777" w:rsidR="00E26164" w:rsidRPr="003A1842" w:rsidRDefault="00E26164" w:rsidP="00D25422">
            <w:pPr>
              <w:widowControl w:val="0"/>
              <w:jc w:val="center"/>
              <w:rPr>
                <w:sz w:val="15"/>
                <w:szCs w:val="15"/>
              </w:rPr>
            </w:pPr>
          </w:p>
        </w:tc>
        <w:tc>
          <w:tcPr>
            <w:tcW w:w="670" w:type="dxa"/>
            <w:tcBorders>
              <w:left w:val="single" w:sz="18" w:space="0" w:color="auto"/>
            </w:tcBorders>
            <w:shd w:val="clear" w:color="auto" w:fill="auto"/>
            <w:tcMar>
              <w:top w:w="100" w:type="dxa"/>
              <w:left w:w="100" w:type="dxa"/>
              <w:bottom w:w="100" w:type="dxa"/>
              <w:right w:w="100" w:type="dxa"/>
            </w:tcMar>
            <w:vAlign w:val="center"/>
          </w:tcPr>
          <w:p w14:paraId="6E18E042" w14:textId="19320201" w:rsidR="00E26164" w:rsidRPr="003A1842" w:rsidRDefault="00E26164" w:rsidP="00D25422">
            <w:pPr>
              <w:widowControl w:val="0"/>
              <w:jc w:val="center"/>
              <w:rPr>
                <w:sz w:val="15"/>
                <w:szCs w:val="15"/>
              </w:rPr>
            </w:pPr>
            <w:r w:rsidRPr="003A1842">
              <w:rPr>
                <w:sz w:val="15"/>
                <w:szCs w:val="15"/>
              </w:rPr>
              <w:t>3.6 (0.47)</w:t>
            </w:r>
          </w:p>
        </w:tc>
        <w:tc>
          <w:tcPr>
            <w:tcW w:w="681" w:type="dxa"/>
            <w:shd w:val="clear" w:color="auto" w:fill="auto"/>
            <w:tcMar>
              <w:top w:w="100" w:type="dxa"/>
              <w:left w:w="100" w:type="dxa"/>
              <w:bottom w:w="100" w:type="dxa"/>
              <w:right w:w="100" w:type="dxa"/>
            </w:tcMar>
            <w:vAlign w:val="center"/>
          </w:tcPr>
          <w:p w14:paraId="4B602B3A" w14:textId="1FBE741E" w:rsidR="00E26164" w:rsidRPr="003A1842" w:rsidRDefault="00E26164" w:rsidP="00D25422">
            <w:pPr>
              <w:widowControl w:val="0"/>
              <w:jc w:val="center"/>
              <w:rPr>
                <w:sz w:val="15"/>
                <w:szCs w:val="15"/>
              </w:rPr>
            </w:pPr>
            <w:r w:rsidRPr="003A1842">
              <w:rPr>
                <w:sz w:val="15"/>
                <w:szCs w:val="15"/>
              </w:rPr>
              <w:t>4.4 (0.36)</w:t>
            </w:r>
          </w:p>
        </w:tc>
        <w:tc>
          <w:tcPr>
            <w:tcW w:w="719" w:type="dxa"/>
            <w:tcBorders>
              <w:top w:val="single" w:sz="8" w:space="0" w:color="000000"/>
              <w:right w:val="single" w:sz="8" w:space="0" w:color="000000"/>
            </w:tcBorders>
            <w:shd w:val="clear" w:color="auto" w:fill="auto"/>
            <w:tcMar>
              <w:top w:w="100" w:type="dxa"/>
              <w:left w:w="100" w:type="dxa"/>
              <w:bottom w:w="100" w:type="dxa"/>
              <w:right w:w="100" w:type="dxa"/>
            </w:tcMar>
            <w:vAlign w:val="center"/>
          </w:tcPr>
          <w:p w14:paraId="43673599" w14:textId="77777777" w:rsidR="00E26164" w:rsidRPr="003A1842" w:rsidRDefault="00E26164" w:rsidP="00D25422">
            <w:pPr>
              <w:widowControl w:val="0"/>
              <w:jc w:val="center"/>
              <w:rPr>
                <w:sz w:val="15"/>
                <w:szCs w:val="15"/>
              </w:rPr>
            </w:pPr>
            <w:r w:rsidRPr="003A1842">
              <w:rPr>
                <w:sz w:val="15"/>
                <w:szCs w:val="15"/>
              </w:rPr>
              <w:t>-</w:t>
            </w:r>
          </w:p>
        </w:tc>
        <w:tc>
          <w:tcPr>
            <w:tcW w:w="71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center"/>
          </w:tcPr>
          <w:p w14:paraId="69800D24" w14:textId="77777777" w:rsidR="00E26164" w:rsidRPr="003A1842" w:rsidRDefault="00E26164" w:rsidP="00D25422">
            <w:pPr>
              <w:widowControl w:val="0"/>
              <w:jc w:val="center"/>
              <w:rPr>
                <w:sz w:val="15"/>
                <w:szCs w:val="15"/>
              </w:rPr>
            </w:pPr>
          </w:p>
        </w:tc>
        <w:tc>
          <w:tcPr>
            <w:tcW w:w="719" w:type="dxa"/>
            <w:tcBorders>
              <w:top w:val="nil"/>
              <w:left w:val="nil"/>
              <w:bottom w:val="nil"/>
              <w:right w:val="nil"/>
            </w:tcBorders>
            <w:shd w:val="clear" w:color="auto" w:fill="auto"/>
            <w:tcMar>
              <w:top w:w="100" w:type="dxa"/>
              <w:left w:w="100" w:type="dxa"/>
              <w:bottom w:w="100" w:type="dxa"/>
              <w:right w:w="100" w:type="dxa"/>
            </w:tcMar>
            <w:vAlign w:val="center"/>
          </w:tcPr>
          <w:p w14:paraId="708500C2" w14:textId="77777777" w:rsidR="00E26164" w:rsidRPr="003A1842" w:rsidRDefault="00E26164" w:rsidP="00D25422">
            <w:pPr>
              <w:widowControl w:val="0"/>
              <w:jc w:val="center"/>
              <w:rPr>
                <w:sz w:val="15"/>
                <w:szCs w:val="15"/>
              </w:rPr>
            </w:pPr>
          </w:p>
        </w:tc>
        <w:tc>
          <w:tcPr>
            <w:tcW w:w="719" w:type="dxa"/>
            <w:tcBorders>
              <w:top w:val="nil"/>
              <w:left w:val="nil"/>
              <w:bottom w:val="nil"/>
              <w:right w:val="single" w:sz="18" w:space="0" w:color="auto"/>
            </w:tcBorders>
            <w:shd w:val="clear" w:color="auto" w:fill="auto"/>
            <w:tcMar>
              <w:top w:w="100" w:type="dxa"/>
              <w:left w:w="100" w:type="dxa"/>
              <w:bottom w:w="100" w:type="dxa"/>
              <w:right w:w="100" w:type="dxa"/>
            </w:tcMar>
            <w:vAlign w:val="center"/>
          </w:tcPr>
          <w:p w14:paraId="397AF4C9" w14:textId="77777777" w:rsidR="00E26164" w:rsidRPr="003A1842" w:rsidRDefault="00E26164" w:rsidP="00D25422">
            <w:pPr>
              <w:widowControl w:val="0"/>
              <w:jc w:val="center"/>
              <w:rPr>
                <w:sz w:val="15"/>
                <w:szCs w:val="15"/>
              </w:rPr>
            </w:pPr>
          </w:p>
        </w:tc>
      </w:tr>
      <w:tr w:rsidR="00E26164" w14:paraId="57E2F4B7" w14:textId="77777777" w:rsidTr="00D25422">
        <w:trPr>
          <w:trHeight w:val="20"/>
        </w:trPr>
        <w:tc>
          <w:tcPr>
            <w:tcW w:w="772" w:type="dxa"/>
            <w:vMerge w:val="restart"/>
            <w:shd w:val="clear" w:color="auto" w:fill="auto"/>
            <w:vAlign w:val="center"/>
          </w:tcPr>
          <w:p w14:paraId="153DD088" w14:textId="6FBD702C" w:rsidR="00E26164" w:rsidRPr="006F0399" w:rsidRDefault="00E26164" w:rsidP="00D25422">
            <w:pPr>
              <w:widowControl w:val="0"/>
              <w:jc w:val="center"/>
              <w:rPr>
                <w:b/>
                <w:sz w:val="22"/>
                <w:szCs w:val="18"/>
              </w:rPr>
            </w:pPr>
            <w:r w:rsidRPr="006F0399">
              <w:rPr>
                <w:b/>
                <w:sz w:val="22"/>
                <w:szCs w:val="18"/>
              </w:rPr>
              <w:t>10°C</w:t>
            </w:r>
          </w:p>
        </w:tc>
        <w:tc>
          <w:tcPr>
            <w:tcW w:w="682" w:type="dxa"/>
            <w:tcBorders>
              <w:right w:val="single" w:sz="18" w:space="0" w:color="auto"/>
            </w:tcBorders>
            <w:shd w:val="clear" w:color="auto" w:fill="auto"/>
            <w:tcMar>
              <w:top w:w="100" w:type="dxa"/>
              <w:left w:w="100" w:type="dxa"/>
              <w:bottom w:w="100" w:type="dxa"/>
              <w:right w:w="100" w:type="dxa"/>
            </w:tcMar>
            <w:vAlign w:val="center"/>
          </w:tcPr>
          <w:p w14:paraId="05A58819" w14:textId="3017D7C2" w:rsidR="00E26164" w:rsidRPr="00C22AEE" w:rsidRDefault="00E26164" w:rsidP="00D25422">
            <w:pPr>
              <w:widowControl w:val="0"/>
              <w:jc w:val="center"/>
              <w:rPr>
                <w:b/>
                <w:sz w:val="20"/>
                <w:szCs w:val="20"/>
                <w:vertAlign w:val="subscript"/>
              </w:rPr>
            </w:pPr>
            <w:r w:rsidRPr="00C22AEE">
              <w:rPr>
                <w:b/>
                <w:sz w:val="20"/>
                <w:szCs w:val="20"/>
              </w:rPr>
              <w:t>Pre</w:t>
            </w:r>
          </w:p>
        </w:tc>
        <w:tc>
          <w:tcPr>
            <w:tcW w:w="715" w:type="dxa"/>
            <w:tcBorders>
              <w:left w:val="single" w:sz="18" w:space="0" w:color="auto"/>
            </w:tcBorders>
            <w:shd w:val="clear" w:color="auto" w:fill="auto"/>
            <w:tcMar>
              <w:top w:w="100" w:type="dxa"/>
              <w:left w:w="100" w:type="dxa"/>
              <w:bottom w:w="100" w:type="dxa"/>
              <w:right w:w="100" w:type="dxa"/>
            </w:tcMar>
            <w:vAlign w:val="center"/>
          </w:tcPr>
          <w:p w14:paraId="3A62E486" w14:textId="09995A21" w:rsidR="00E26164" w:rsidRPr="00457E21" w:rsidRDefault="00E26164" w:rsidP="00D25422">
            <w:pPr>
              <w:widowControl w:val="0"/>
              <w:jc w:val="center"/>
              <w:rPr>
                <w:b/>
                <w:sz w:val="15"/>
                <w:szCs w:val="15"/>
              </w:rPr>
            </w:pPr>
            <w:r w:rsidRPr="00457E21">
              <w:rPr>
                <w:b/>
                <w:sz w:val="15"/>
                <w:szCs w:val="15"/>
              </w:rPr>
              <w:t>*31.1 (1.6e-3)</w:t>
            </w:r>
          </w:p>
        </w:tc>
        <w:tc>
          <w:tcPr>
            <w:tcW w:w="677" w:type="dxa"/>
            <w:gridSpan w:val="2"/>
            <w:shd w:val="clear" w:color="auto" w:fill="auto"/>
            <w:tcMar>
              <w:top w:w="100" w:type="dxa"/>
              <w:left w:w="100" w:type="dxa"/>
              <w:bottom w:w="100" w:type="dxa"/>
              <w:right w:w="100" w:type="dxa"/>
            </w:tcMar>
            <w:vAlign w:val="center"/>
          </w:tcPr>
          <w:p w14:paraId="7EE5C06B" w14:textId="77777777" w:rsidR="00E26164" w:rsidRPr="00931795" w:rsidRDefault="00E26164" w:rsidP="00D25422">
            <w:pPr>
              <w:widowControl w:val="0"/>
              <w:jc w:val="center"/>
              <w:rPr>
                <w:sz w:val="15"/>
                <w:szCs w:val="15"/>
              </w:rPr>
            </w:pPr>
          </w:p>
        </w:tc>
        <w:tc>
          <w:tcPr>
            <w:tcW w:w="675" w:type="dxa"/>
            <w:gridSpan w:val="3"/>
            <w:shd w:val="clear" w:color="auto" w:fill="auto"/>
            <w:tcMar>
              <w:top w:w="100" w:type="dxa"/>
              <w:left w:w="100" w:type="dxa"/>
              <w:bottom w:w="100" w:type="dxa"/>
              <w:right w:w="100" w:type="dxa"/>
            </w:tcMar>
            <w:vAlign w:val="center"/>
          </w:tcPr>
          <w:p w14:paraId="4F13BD9C" w14:textId="66F02B91" w:rsidR="00E26164" w:rsidRPr="00931795" w:rsidRDefault="00E26164" w:rsidP="00D25422">
            <w:pPr>
              <w:widowControl w:val="0"/>
              <w:jc w:val="center"/>
              <w:rPr>
                <w:sz w:val="15"/>
                <w:szCs w:val="15"/>
              </w:rPr>
            </w:pPr>
          </w:p>
        </w:tc>
        <w:tc>
          <w:tcPr>
            <w:tcW w:w="659" w:type="dxa"/>
            <w:gridSpan w:val="2"/>
            <w:tcBorders>
              <w:top w:val="single" w:sz="8" w:space="0" w:color="000000"/>
              <w:right w:val="single" w:sz="8" w:space="0" w:color="000000"/>
            </w:tcBorders>
            <w:shd w:val="clear" w:color="auto" w:fill="auto"/>
            <w:tcMar>
              <w:top w:w="100" w:type="dxa"/>
              <w:left w:w="100" w:type="dxa"/>
              <w:bottom w:w="100" w:type="dxa"/>
              <w:right w:w="100" w:type="dxa"/>
            </w:tcMar>
            <w:vAlign w:val="center"/>
          </w:tcPr>
          <w:p w14:paraId="435DE383" w14:textId="33A64F34" w:rsidR="00E26164" w:rsidRPr="00931795" w:rsidRDefault="00E26164" w:rsidP="00D25422">
            <w:pPr>
              <w:widowControl w:val="0"/>
              <w:jc w:val="center"/>
              <w:rPr>
                <w:sz w:val="15"/>
                <w:szCs w:val="15"/>
              </w:rPr>
            </w:pPr>
            <w:r w:rsidRPr="00931795">
              <w:rPr>
                <w:sz w:val="15"/>
                <w:szCs w:val="15"/>
              </w:rPr>
              <w:t>-</w:t>
            </w:r>
          </w:p>
        </w:tc>
        <w:tc>
          <w:tcPr>
            <w:tcW w:w="662"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center"/>
          </w:tcPr>
          <w:p w14:paraId="03EDEA44" w14:textId="77777777" w:rsidR="00E26164" w:rsidRPr="003A1842" w:rsidRDefault="00E26164" w:rsidP="00D25422">
            <w:pPr>
              <w:widowControl w:val="0"/>
              <w:jc w:val="center"/>
              <w:rPr>
                <w:sz w:val="15"/>
                <w:szCs w:val="15"/>
              </w:rPr>
            </w:pPr>
          </w:p>
        </w:tc>
        <w:tc>
          <w:tcPr>
            <w:tcW w:w="664" w:type="dxa"/>
            <w:tcBorders>
              <w:top w:val="nil"/>
              <w:left w:val="nil"/>
              <w:bottom w:val="nil"/>
              <w:right w:val="single" w:sz="18" w:space="0" w:color="auto"/>
            </w:tcBorders>
            <w:shd w:val="clear" w:color="auto" w:fill="auto"/>
            <w:tcMar>
              <w:top w:w="100" w:type="dxa"/>
              <w:left w:w="100" w:type="dxa"/>
              <w:bottom w:w="100" w:type="dxa"/>
              <w:right w:w="100" w:type="dxa"/>
            </w:tcMar>
            <w:vAlign w:val="center"/>
          </w:tcPr>
          <w:p w14:paraId="5940E5BA" w14:textId="77777777" w:rsidR="00E26164" w:rsidRPr="003A1842" w:rsidRDefault="00E26164" w:rsidP="00D25422">
            <w:pPr>
              <w:widowControl w:val="0"/>
              <w:jc w:val="center"/>
              <w:rPr>
                <w:sz w:val="15"/>
                <w:szCs w:val="15"/>
              </w:rPr>
            </w:pPr>
          </w:p>
        </w:tc>
        <w:tc>
          <w:tcPr>
            <w:tcW w:w="670" w:type="dxa"/>
            <w:tcBorders>
              <w:left w:val="single" w:sz="18" w:space="0" w:color="auto"/>
            </w:tcBorders>
            <w:shd w:val="clear" w:color="auto" w:fill="auto"/>
            <w:tcMar>
              <w:top w:w="100" w:type="dxa"/>
              <w:left w:w="100" w:type="dxa"/>
              <w:bottom w:w="100" w:type="dxa"/>
              <w:right w:w="100" w:type="dxa"/>
            </w:tcMar>
            <w:vAlign w:val="center"/>
          </w:tcPr>
          <w:p w14:paraId="6064C1A5" w14:textId="1647D688" w:rsidR="00E26164" w:rsidRPr="003A1842" w:rsidRDefault="00E26164" w:rsidP="00D25422">
            <w:pPr>
              <w:widowControl w:val="0"/>
              <w:jc w:val="center"/>
              <w:rPr>
                <w:sz w:val="15"/>
                <w:szCs w:val="15"/>
              </w:rPr>
            </w:pPr>
            <w:r w:rsidRPr="003A1842">
              <w:rPr>
                <w:sz w:val="15"/>
                <w:szCs w:val="15"/>
              </w:rPr>
              <w:t>2.1 (0.78)</w:t>
            </w:r>
          </w:p>
        </w:tc>
        <w:tc>
          <w:tcPr>
            <w:tcW w:w="681" w:type="dxa"/>
            <w:shd w:val="clear" w:color="auto" w:fill="auto"/>
            <w:tcMar>
              <w:top w:w="100" w:type="dxa"/>
              <w:left w:w="100" w:type="dxa"/>
              <w:bottom w:w="100" w:type="dxa"/>
              <w:right w:w="100" w:type="dxa"/>
            </w:tcMar>
            <w:vAlign w:val="center"/>
          </w:tcPr>
          <w:p w14:paraId="1465C949" w14:textId="77777777" w:rsidR="00E26164" w:rsidRPr="003A1842" w:rsidRDefault="00E26164" w:rsidP="00D25422">
            <w:pPr>
              <w:widowControl w:val="0"/>
              <w:jc w:val="center"/>
              <w:rPr>
                <w:sz w:val="15"/>
                <w:szCs w:val="15"/>
              </w:rPr>
            </w:pPr>
          </w:p>
        </w:tc>
        <w:tc>
          <w:tcPr>
            <w:tcW w:w="719" w:type="dxa"/>
            <w:shd w:val="clear" w:color="auto" w:fill="auto"/>
            <w:tcMar>
              <w:top w:w="100" w:type="dxa"/>
              <w:left w:w="100" w:type="dxa"/>
              <w:bottom w:w="100" w:type="dxa"/>
              <w:right w:w="100" w:type="dxa"/>
            </w:tcMar>
            <w:vAlign w:val="center"/>
          </w:tcPr>
          <w:p w14:paraId="1FE7B00A" w14:textId="490E8A5C" w:rsidR="00E26164" w:rsidRPr="003A1842" w:rsidRDefault="00E26164" w:rsidP="00D25422">
            <w:pPr>
              <w:widowControl w:val="0"/>
              <w:jc w:val="center"/>
              <w:rPr>
                <w:sz w:val="15"/>
                <w:szCs w:val="15"/>
              </w:rPr>
            </w:pPr>
          </w:p>
        </w:tc>
        <w:tc>
          <w:tcPr>
            <w:tcW w:w="719" w:type="dxa"/>
            <w:tcBorders>
              <w:top w:val="single" w:sz="8" w:space="0" w:color="000000"/>
              <w:right w:val="single" w:sz="8" w:space="0" w:color="000000"/>
            </w:tcBorders>
            <w:shd w:val="clear" w:color="auto" w:fill="auto"/>
            <w:tcMar>
              <w:top w:w="100" w:type="dxa"/>
              <w:left w:w="100" w:type="dxa"/>
              <w:bottom w:w="100" w:type="dxa"/>
              <w:right w:w="100" w:type="dxa"/>
            </w:tcMar>
            <w:vAlign w:val="center"/>
          </w:tcPr>
          <w:p w14:paraId="16594428" w14:textId="2B5D4DF1" w:rsidR="00E26164" w:rsidRPr="003A1842" w:rsidRDefault="00E26164" w:rsidP="00D25422">
            <w:pPr>
              <w:widowControl w:val="0"/>
              <w:jc w:val="center"/>
              <w:rPr>
                <w:sz w:val="15"/>
                <w:szCs w:val="15"/>
              </w:rPr>
            </w:pPr>
            <w:r>
              <w:rPr>
                <w:sz w:val="15"/>
                <w:szCs w:val="15"/>
              </w:rPr>
              <w:t>-</w:t>
            </w:r>
          </w:p>
        </w:tc>
        <w:tc>
          <w:tcPr>
            <w:tcW w:w="71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vAlign w:val="center"/>
          </w:tcPr>
          <w:p w14:paraId="799861CF" w14:textId="77777777" w:rsidR="00E26164" w:rsidRPr="003A1842" w:rsidRDefault="00E26164" w:rsidP="00D25422">
            <w:pPr>
              <w:widowControl w:val="0"/>
              <w:jc w:val="center"/>
              <w:rPr>
                <w:sz w:val="15"/>
                <w:szCs w:val="15"/>
              </w:rPr>
            </w:pPr>
          </w:p>
        </w:tc>
        <w:tc>
          <w:tcPr>
            <w:tcW w:w="719" w:type="dxa"/>
            <w:tcBorders>
              <w:top w:val="nil"/>
              <w:left w:val="nil"/>
              <w:bottom w:val="nil"/>
              <w:right w:val="single" w:sz="18" w:space="0" w:color="auto"/>
            </w:tcBorders>
            <w:shd w:val="clear" w:color="auto" w:fill="auto"/>
            <w:tcMar>
              <w:top w:w="100" w:type="dxa"/>
              <w:left w:w="100" w:type="dxa"/>
              <w:bottom w:w="100" w:type="dxa"/>
              <w:right w:w="100" w:type="dxa"/>
            </w:tcMar>
            <w:vAlign w:val="center"/>
          </w:tcPr>
          <w:p w14:paraId="65ED33A4" w14:textId="77777777" w:rsidR="00E26164" w:rsidRPr="003A1842" w:rsidRDefault="00E26164" w:rsidP="00D25422">
            <w:pPr>
              <w:widowControl w:val="0"/>
              <w:jc w:val="center"/>
              <w:rPr>
                <w:sz w:val="15"/>
                <w:szCs w:val="15"/>
              </w:rPr>
            </w:pPr>
          </w:p>
        </w:tc>
      </w:tr>
      <w:tr w:rsidR="00E26164" w14:paraId="03B1D22A" w14:textId="77777777" w:rsidTr="00D25422">
        <w:trPr>
          <w:trHeight w:val="20"/>
        </w:trPr>
        <w:tc>
          <w:tcPr>
            <w:tcW w:w="772" w:type="dxa"/>
            <w:vMerge/>
            <w:shd w:val="clear" w:color="auto" w:fill="auto"/>
            <w:vAlign w:val="center"/>
          </w:tcPr>
          <w:p w14:paraId="5DFB9284" w14:textId="77777777" w:rsidR="00E26164" w:rsidRDefault="00E26164" w:rsidP="00D25422">
            <w:pPr>
              <w:widowControl w:val="0"/>
              <w:jc w:val="center"/>
              <w:rPr>
                <w:b/>
                <w:sz w:val="18"/>
                <w:szCs w:val="18"/>
              </w:rPr>
            </w:pPr>
          </w:p>
        </w:tc>
        <w:tc>
          <w:tcPr>
            <w:tcW w:w="682" w:type="dxa"/>
            <w:tcBorders>
              <w:right w:val="single" w:sz="18" w:space="0" w:color="auto"/>
            </w:tcBorders>
            <w:shd w:val="clear" w:color="auto" w:fill="auto"/>
            <w:tcMar>
              <w:top w:w="100" w:type="dxa"/>
              <w:left w:w="100" w:type="dxa"/>
              <w:bottom w:w="100" w:type="dxa"/>
              <w:right w:w="100" w:type="dxa"/>
            </w:tcMar>
            <w:vAlign w:val="center"/>
          </w:tcPr>
          <w:p w14:paraId="38D2FE07" w14:textId="73A41E76" w:rsidR="00E26164" w:rsidRPr="00C22AEE" w:rsidRDefault="00E26164" w:rsidP="00D25422">
            <w:pPr>
              <w:widowControl w:val="0"/>
              <w:jc w:val="center"/>
              <w:rPr>
                <w:b/>
                <w:sz w:val="20"/>
                <w:szCs w:val="20"/>
              </w:rPr>
            </w:pPr>
            <w:proofErr w:type="spellStart"/>
            <w:r w:rsidRPr="00C22AEE">
              <w:rPr>
                <w:b/>
                <w:sz w:val="20"/>
                <w:szCs w:val="20"/>
              </w:rPr>
              <w:t>Amb</w:t>
            </w:r>
            <w:proofErr w:type="spellEnd"/>
          </w:p>
        </w:tc>
        <w:tc>
          <w:tcPr>
            <w:tcW w:w="715" w:type="dxa"/>
            <w:tcBorders>
              <w:left w:val="single" w:sz="18" w:space="0" w:color="auto"/>
              <w:bottom w:val="single" w:sz="8" w:space="0" w:color="000000"/>
            </w:tcBorders>
            <w:shd w:val="clear" w:color="auto" w:fill="auto"/>
            <w:tcMar>
              <w:top w:w="100" w:type="dxa"/>
              <w:left w:w="100" w:type="dxa"/>
              <w:bottom w:w="100" w:type="dxa"/>
              <w:right w:w="100" w:type="dxa"/>
            </w:tcMar>
            <w:vAlign w:val="center"/>
          </w:tcPr>
          <w:p w14:paraId="11681B74" w14:textId="77777777" w:rsidR="00E26164" w:rsidRPr="00931795" w:rsidRDefault="00E26164" w:rsidP="00D25422">
            <w:pPr>
              <w:widowControl w:val="0"/>
              <w:jc w:val="center"/>
              <w:rPr>
                <w:sz w:val="15"/>
                <w:szCs w:val="15"/>
              </w:rPr>
            </w:pPr>
          </w:p>
        </w:tc>
        <w:tc>
          <w:tcPr>
            <w:tcW w:w="677" w:type="dxa"/>
            <w:gridSpan w:val="2"/>
            <w:tcBorders>
              <w:bottom w:val="single" w:sz="8" w:space="0" w:color="000000"/>
            </w:tcBorders>
            <w:shd w:val="clear" w:color="auto" w:fill="auto"/>
            <w:tcMar>
              <w:top w:w="100" w:type="dxa"/>
              <w:left w:w="100" w:type="dxa"/>
              <w:bottom w:w="100" w:type="dxa"/>
              <w:right w:w="100" w:type="dxa"/>
            </w:tcMar>
            <w:vAlign w:val="center"/>
          </w:tcPr>
          <w:p w14:paraId="61F1DA80" w14:textId="0395FD5E" w:rsidR="00E26164" w:rsidRPr="00931795" w:rsidRDefault="00E26164" w:rsidP="00D25422">
            <w:pPr>
              <w:widowControl w:val="0"/>
              <w:jc w:val="center"/>
              <w:rPr>
                <w:sz w:val="15"/>
                <w:szCs w:val="15"/>
              </w:rPr>
            </w:pPr>
          </w:p>
        </w:tc>
        <w:tc>
          <w:tcPr>
            <w:tcW w:w="675" w:type="dxa"/>
            <w:gridSpan w:val="3"/>
            <w:tcBorders>
              <w:bottom w:val="single" w:sz="8" w:space="0" w:color="000000"/>
            </w:tcBorders>
            <w:shd w:val="clear" w:color="auto" w:fill="auto"/>
            <w:tcMar>
              <w:top w:w="100" w:type="dxa"/>
              <w:left w:w="100" w:type="dxa"/>
              <w:bottom w:w="100" w:type="dxa"/>
              <w:right w:w="100" w:type="dxa"/>
            </w:tcMar>
            <w:vAlign w:val="center"/>
          </w:tcPr>
          <w:p w14:paraId="16584488" w14:textId="77777777" w:rsidR="00E26164" w:rsidRPr="00931795" w:rsidRDefault="00E26164" w:rsidP="00D25422">
            <w:pPr>
              <w:widowControl w:val="0"/>
              <w:jc w:val="center"/>
              <w:rPr>
                <w:sz w:val="15"/>
                <w:szCs w:val="15"/>
              </w:rPr>
            </w:pPr>
          </w:p>
        </w:tc>
        <w:tc>
          <w:tcPr>
            <w:tcW w:w="659" w:type="dxa"/>
            <w:gridSpan w:val="2"/>
            <w:tcBorders>
              <w:bottom w:val="single" w:sz="8" w:space="0" w:color="000000"/>
            </w:tcBorders>
            <w:shd w:val="clear" w:color="auto" w:fill="auto"/>
            <w:tcMar>
              <w:top w:w="100" w:type="dxa"/>
              <w:left w:w="100" w:type="dxa"/>
              <w:bottom w:w="100" w:type="dxa"/>
              <w:right w:w="100" w:type="dxa"/>
            </w:tcMar>
            <w:vAlign w:val="center"/>
          </w:tcPr>
          <w:p w14:paraId="5349DBB0" w14:textId="228CAB6E" w:rsidR="00E26164" w:rsidRPr="00457E21" w:rsidRDefault="00E26164" w:rsidP="00D25422">
            <w:pPr>
              <w:widowControl w:val="0"/>
              <w:jc w:val="center"/>
              <w:rPr>
                <w:b/>
                <w:sz w:val="15"/>
                <w:szCs w:val="15"/>
              </w:rPr>
            </w:pPr>
            <w:r w:rsidRPr="00457E21">
              <w:rPr>
                <w:b/>
                <w:sz w:val="15"/>
                <w:szCs w:val="15"/>
              </w:rPr>
              <w:t>*11.2 (0.038)</w:t>
            </w:r>
          </w:p>
        </w:tc>
        <w:tc>
          <w:tcPr>
            <w:tcW w:w="662"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7DD750" w14:textId="0E393B7D" w:rsidR="00E26164" w:rsidRPr="003A1842" w:rsidRDefault="00E26164" w:rsidP="00D25422">
            <w:pPr>
              <w:widowControl w:val="0"/>
              <w:jc w:val="center"/>
              <w:rPr>
                <w:sz w:val="15"/>
                <w:szCs w:val="15"/>
              </w:rPr>
            </w:pPr>
            <w:r>
              <w:rPr>
                <w:sz w:val="15"/>
                <w:szCs w:val="15"/>
              </w:rPr>
              <w:t>-</w:t>
            </w:r>
          </w:p>
        </w:tc>
        <w:tc>
          <w:tcPr>
            <w:tcW w:w="664" w:type="dxa"/>
            <w:tcBorders>
              <w:top w:val="nil"/>
              <w:left w:val="single" w:sz="8" w:space="0" w:color="000000"/>
              <w:bottom w:val="single" w:sz="8" w:space="0" w:color="000000"/>
              <w:right w:val="single" w:sz="18" w:space="0" w:color="auto"/>
            </w:tcBorders>
            <w:shd w:val="clear" w:color="auto" w:fill="auto"/>
            <w:tcMar>
              <w:top w:w="100" w:type="dxa"/>
              <w:left w:w="100" w:type="dxa"/>
              <w:bottom w:w="100" w:type="dxa"/>
              <w:right w:w="100" w:type="dxa"/>
            </w:tcMar>
            <w:vAlign w:val="center"/>
          </w:tcPr>
          <w:p w14:paraId="1DB9F2E1" w14:textId="77777777" w:rsidR="00E26164" w:rsidRPr="003A1842" w:rsidRDefault="00E26164" w:rsidP="00D25422">
            <w:pPr>
              <w:widowControl w:val="0"/>
              <w:jc w:val="center"/>
              <w:rPr>
                <w:sz w:val="15"/>
                <w:szCs w:val="15"/>
              </w:rPr>
            </w:pPr>
          </w:p>
        </w:tc>
        <w:tc>
          <w:tcPr>
            <w:tcW w:w="670" w:type="dxa"/>
            <w:tcBorders>
              <w:left w:val="single" w:sz="18" w:space="0" w:color="auto"/>
              <w:bottom w:val="single" w:sz="8" w:space="0" w:color="000000"/>
            </w:tcBorders>
            <w:shd w:val="clear" w:color="auto" w:fill="auto"/>
            <w:tcMar>
              <w:top w:w="100" w:type="dxa"/>
              <w:left w:w="100" w:type="dxa"/>
              <w:bottom w:w="100" w:type="dxa"/>
              <w:right w:w="100" w:type="dxa"/>
            </w:tcMar>
            <w:vAlign w:val="center"/>
          </w:tcPr>
          <w:p w14:paraId="0C5766D4" w14:textId="77777777" w:rsidR="00E26164" w:rsidRPr="003A1842" w:rsidRDefault="00E26164" w:rsidP="00D25422">
            <w:pPr>
              <w:widowControl w:val="0"/>
              <w:jc w:val="center"/>
              <w:rPr>
                <w:sz w:val="15"/>
                <w:szCs w:val="15"/>
              </w:rPr>
            </w:pPr>
          </w:p>
        </w:tc>
        <w:tc>
          <w:tcPr>
            <w:tcW w:w="681" w:type="dxa"/>
            <w:tcBorders>
              <w:bottom w:val="single" w:sz="8" w:space="0" w:color="000000"/>
            </w:tcBorders>
            <w:shd w:val="clear" w:color="auto" w:fill="auto"/>
            <w:tcMar>
              <w:top w:w="100" w:type="dxa"/>
              <w:left w:w="100" w:type="dxa"/>
              <w:bottom w:w="100" w:type="dxa"/>
              <w:right w:w="100" w:type="dxa"/>
            </w:tcMar>
            <w:vAlign w:val="center"/>
          </w:tcPr>
          <w:p w14:paraId="10107FC1" w14:textId="246F84EC" w:rsidR="00E26164" w:rsidRPr="003A1842" w:rsidRDefault="00E26164" w:rsidP="00D25422">
            <w:pPr>
              <w:widowControl w:val="0"/>
              <w:jc w:val="center"/>
              <w:rPr>
                <w:sz w:val="15"/>
                <w:szCs w:val="15"/>
              </w:rPr>
            </w:pPr>
          </w:p>
        </w:tc>
        <w:tc>
          <w:tcPr>
            <w:tcW w:w="719" w:type="dxa"/>
            <w:tcBorders>
              <w:bottom w:val="single" w:sz="8" w:space="0" w:color="000000"/>
            </w:tcBorders>
            <w:shd w:val="clear" w:color="auto" w:fill="auto"/>
            <w:tcMar>
              <w:top w:w="100" w:type="dxa"/>
              <w:left w:w="100" w:type="dxa"/>
              <w:bottom w:w="100" w:type="dxa"/>
              <w:right w:w="100" w:type="dxa"/>
            </w:tcMar>
            <w:vAlign w:val="center"/>
          </w:tcPr>
          <w:p w14:paraId="6401B896" w14:textId="77777777" w:rsidR="00E26164" w:rsidRPr="003A1842" w:rsidRDefault="00E26164" w:rsidP="00D25422">
            <w:pPr>
              <w:widowControl w:val="0"/>
              <w:jc w:val="center"/>
              <w:rPr>
                <w:sz w:val="15"/>
                <w:szCs w:val="15"/>
              </w:rPr>
            </w:pPr>
          </w:p>
        </w:tc>
        <w:tc>
          <w:tcPr>
            <w:tcW w:w="719" w:type="dxa"/>
            <w:tcBorders>
              <w:bottom w:val="single" w:sz="8" w:space="0" w:color="000000"/>
            </w:tcBorders>
            <w:shd w:val="clear" w:color="auto" w:fill="auto"/>
            <w:tcMar>
              <w:top w:w="100" w:type="dxa"/>
              <w:left w:w="100" w:type="dxa"/>
              <w:bottom w:w="100" w:type="dxa"/>
              <w:right w:w="100" w:type="dxa"/>
            </w:tcMar>
            <w:vAlign w:val="center"/>
          </w:tcPr>
          <w:p w14:paraId="31132DCB" w14:textId="4C2015A5" w:rsidR="00E26164" w:rsidRPr="003A1842" w:rsidRDefault="00E26164" w:rsidP="00D25422">
            <w:pPr>
              <w:widowControl w:val="0"/>
              <w:jc w:val="center"/>
              <w:rPr>
                <w:sz w:val="15"/>
                <w:szCs w:val="15"/>
              </w:rPr>
            </w:pPr>
            <w:r w:rsidRPr="003A1842">
              <w:rPr>
                <w:sz w:val="15"/>
                <w:szCs w:val="15"/>
              </w:rPr>
              <w:t>4.2 (0.26</w:t>
            </w:r>
          </w:p>
        </w:tc>
        <w:tc>
          <w:tcPr>
            <w:tcW w:w="719"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D09811" w14:textId="44ABDA5D" w:rsidR="00E26164" w:rsidRPr="003A1842" w:rsidRDefault="00E26164" w:rsidP="00D25422">
            <w:pPr>
              <w:widowControl w:val="0"/>
              <w:jc w:val="center"/>
              <w:rPr>
                <w:sz w:val="15"/>
                <w:szCs w:val="15"/>
              </w:rPr>
            </w:pPr>
            <w:r>
              <w:rPr>
                <w:sz w:val="15"/>
                <w:szCs w:val="15"/>
              </w:rPr>
              <w:t>-</w:t>
            </w:r>
          </w:p>
        </w:tc>
        <w:tc>
          <w:tcPr>
            <w:tcW w:w="719" w:type="dxa"/>
            <w:tcBorders>
              <w:top w:val="nil"/>
              <w:left w:val="single" w:sz="8" w:space="0" w:color="000000"/>
              <w:bottom w:val="single" w:sz="8" w:space="0" w:color="000000"/>
              <w:right w:val="single" w:sz="18" w:space="0" w:color="auto"/>
            </w:tcBorders>
            <w:shd w:val="clear" w:color="auto" w:fill="auto"/>
            <w:tcMar>
              <w:top w:w="100" w:type="dxa"/>
              <w:left w:w="100" w:type="dxa"/>
              <w:bottom w:w="100" w:type="dxa"/>
              <w:right w:w="100" w:type="dxa"/>
            </w:tcMar>
            <w:vAlign w:val="center"/>
          </w:tcPr>
          <w:p w14:paraId="28669D6B" w14:textId="77777777" w:rsidR="00E26164" w:rsidRPr="003A1842" w:rsidRDefault="00E26164" w:rsidP="00D25422">
            <w:pPr>
              <w:widowControl w:val="0"/>
              <w:jc w:val="center"/>
              <w:rPr>
                <w:sz w:val="15"/>
                <w:szCs w:val="15"/>
              </w:rPr>
            </w:pPr>
          </w:p>
        </w:tc>
      </w:tr>
      <w:tr w:rsidR="00E26164" w14:paraId="0EF9A149" w14:textId="77777777" w:rsidTr="00D25422">
        <w:trPr>
          <w:trHeight w:val="20"/>
        </w:trPr>
        <w:tc>
          <w:tcPr>
            <w:tcW w:w="772" w:type="dxa"/>
            <w:vMerge/>
            <w:shd w:val="clear" w:color="auto" w:fill="auto"/>
            <w:vAlign w:val="center"/>
          </w:tcPr>
          <w:p w14:paraId="42944CE6" w14:textId="77777777" w:rsidR="00E26164" w:rsidRDefault="00E26164" w:rsidP="00D25422">
            <w:pPr>
              <w:widowControl w:val="0"/>
              <w:jc w:val="center"/>
              <w:rPr>
                <w:b/>
                <w:sz w:val="18"/>
                <w:szCs w:val="18"/>
              </w:rPr>
            </w:pPr>
          </w:p>
        </w:tc>
        <w:tc>
          <w:tcPr>
            <w:tcW w:w="682" w:type="dxa"/>
            <w:tcBorders>
              <w:right w:val="single" w:sz="18" w:space="0" w:color="auto"/>
            </w:tcBorders>
            <w:shd w:val="clear" w:color="auto" w:fill="auto"/>
            <w:tcMar>
              <w:top w:w="100" w:type="dxa"/>
              <w:left w:w="100" w:type="dxa"/>
              <w:bottom w:w="100" w:type="dxa"/>
              <w:right w:w="100" w:type="dxa"/>
            </w:tcMar>
            <w:vAlign w:val="center"/>
          </w:tcPr>
          <w:p w14:paraId="57D842E3" w14:textId="598FD81D" w:rsidR="00E26164" w:rsidRPr="00C22AEE" w:rsidRDefault="00E26164" w:rsidP="00D25422">
            <w:pPr>
              <w:widowControl w:val="0"/>
              <w:jc w:val="center"/>
              <w:rPr>
                <w:b/>
                <w:sz w:val="20"/>
                <w:szCs w:val="20"/>
              </w:rPr>
            </w:pPr>
            <w:r w:rsidRPr="00C22AEE">
              <w:rPr>
                <w:b/>
                <w:sz w:val="20"/>
                <w:szCs w:val="20"/>
              </w:rPr>
              <w:t>High</w:t>
            </w:r>
          </w:p>
        </w:tc>
        <w:tc>
          <w:tcPr>
            <w:tcW w:w="715" w:type="dxa"/>
            <w:tcBorders>
              <w:left w:val="single" w:sz="18" w:space="0" w:color="auto"/>
              <w:bottom w:val="single" w:sz="4" w:space="0" w:color="000000"/>
            </w:tcBorders>
            <w:shd w:val="clear" w:color="auto" w:fill="auto"/>
            <w:tcMar>
              <w:top w:w="100" w:type="dxa"/>
              <w:left w:w="100" w:type="dxa"/>
              <w:bottom w:w="100" w:type="dxa"/>
              <w:right w:w="100" w:type="dxa"/>
            </w:tcMar>
            <w:vAlign w:val="center"/>
          </w:tcPr>
          <w:p w14:paraId="1E8AF00F" w14:textId="77777777" w:rsidR="00E26164" w:rsidRPr="003A1842" w:rsidRDefault="00E26164" w:rsidP="00D25422">
            <w:pPr>
              <w:widowControl w:val="0"/>
              <w:jc w:val="center"/>
              <w:rPr>
                <w:sz w:val="15"/>
                <w:szCs w:val="15"/>
              </w:rPr>
            </w:pPr>
          </w:p>
        </w:tc>
        <w:tc>
          <w:tcPr>
            <w:tcW w:w="677" w:type="dxa"/>
            <w:gridSpan w:val="2"/>
            <w:tcBorders>
              <w:bottom w:val="single" w:sz="4" w:space="0" w:color="000000"/>
            </w:tcBorders>
            <w:shd w:val="clear" w:color="auto" w:fill="auto"/>
            <w:tcMar>
              <w:top w:w="100" w:type="dxa"/>
              <w:left w:w="100" w:type="dxa"/>
              <w:bottom w:w="100" w:type="dxa"/>
              <w:right w:w="100" w:type="dxa"/>
            </w:tcMar>
            <w:vAlign w:val="center"/>
          </w:tcPr>
          <w:p w14:paraId="53283103" w14:textId="363019A7" w:rsidR="00E26164" w:rsidRPr="003A1842" w:rsidRDefault="00E26164" w:rsidP="00D25422">
            <w:pPr>
              <w:widowControl w:val="0"/>
              <w:jc w:val="center"/>
              <w:rPr>
                <w:sz w:val="15"/>
                <w:szCs w:val="15"/>
              </w:rPr>
            </w:pPr>
            <w:r w:rsidRPr="003A1842">
              <w:rPr>
                <w:sz w:val="15"/>
                <w:szCs w:val="15"/>
              </w:rPr>
              <w:t>1.7</w:t>
            </w:r>
            <w:r w:rsidRPr="003A1842">
              <w:rPr>
                <w:b/>
                <w:sz w:val="15"/>
                <w:szCs w:val="15"/>
              </w:rPr>
              <w:t xml:space="preserve"> (</w:t>
            </w:r>
            <w:r w:rsidRPr="003A1842">
              <w:rPr>
                <w:sz w:val="15"/>
                <w:szCs w:val="15"/>
              </w:rPr>
              <w:t>0.78)</w:t>
            </w:r>
          </w:p>
        </w:tc>
        <w:tc>
          <w:tcPr>
            <w:tcW w:w="675" w:type="dxa"/>
            <w:gridSpan w:val="3"/>
            <w:tcBorders>
              <w:bottom w:val="single" w:sz="4" w:space="0" w:color="000000"/>
            </w:tcBorders>
            <w:shd w:val="clear" w:color="auto" w:fill="auto"/>
            <w:tcMar>
              <w:top w:w="100" w:type="dxa"/>
              <w:left w:w="100" w:type="dxa"/>
              <w:bottom w:w="100" w:type="dxa"/>
              <w:right w:w="100" w:type="dxa"/>
            </w:tcMar>
            <w:vAlign w:val="center"/>
          </w:tcPr>
          <w:p w14:paraId="47ED1775" w14:textId="7BA80ABD" w:rsidR="00E26164" w:rsidRPr="003A1842" w:rsidRDefault="00E26164" w:rsidP="00D25422">
            <w:pPr>
              <w:widowControl w:val="0"/>
              <w:jc w:val="center"/>
              <w:rPr>
                <w:sz w:val="15"/>
                <w:szCs w:val="15"/>
              </w:rPr>
            </w:pPr>
          </w:p>
        </w:tc>
        <w:tc>
          <w:tcPr>
            <w:tcW w:w="659" w:type="dxa"/>
            <w:gridSpan w:val="2"/>
            <w:tcBorders>
              <w:bottom w:val="single" w:sz="4" w:space="0" w:color="000000"/>
            </w:tcBorders>
            <w:shd w:val="clear" w:color="auto" w:fill="auto"/>
            <w:tcMar>
              <w:top w:w="100" w:type="dxa"/>
              <w:left w:w="100" w:type="dxa"/>
              <w:bottom w:w="100" w:type="dxa"/>
              <w:right w:w="100" w:type="dxa"/>
            </w:tcMar>
            <w:vAlign w:val="center"/>
          </w:tcPr>
          <w:p w14:paraId="6DA9B566" w14:textId="071EF319" w:rsidR="00E26164" w:rsidRPr="003A1842" w:rsidRDefault="00E26164" w:rsidP="00D25422">
            <w:pPr>
              <w:widowControl w:val="0"/>
              <w:jc w:val="center"/>
              <w:rPr>
                <w:sz w:val="15"/>
                <w:szCs w:val="15"/>
              </w:rPr>
            </w:pPr>
            <w:r w:rsidRPr="003A1842">
              <w:rPr>
                <w:sz w:val="15"/>
                <w:szCs w:val="15"/>
              </w:rPr>
              <w:t>0.6</w:t>
            </w:r>
            <w:r w:rsidRPr="003A1842">
              <w:rPr>
                <w:b/>
                <w:sz w:val="15"/>
                <w:szCs w:val="15"/>
              </w:rPr>
              <w:t xml:space="preserve"> (</w:t>
            </w:r>
            <w:r w:rsidRPr="003A1842">
              <w:rPr>
                <w:sz w:val="15"/>
                <w:szCs w:val="15"/>
              </w:rPr>
              <w:t>0.95)</w:t>
            </w:r>
          </w:p>
        </w:tc>
        <w:tc>
          <w:tcPr>
            <w:tcW w:w="662" w:type="dxa"/>
            <w:tcBorders>
              <w:bottom w:val="single" w:sz="4" w:space="0" w:color="000000"/>
            </w:tcBorders>
            <w:shd w:val="clear" w:color="auto" w:fill="auto"/>
            <w:tcMar>
              <w:top w:w="100" w:type="dxa"/>
              <w:left w:w="100" w:type="dxa"/>
              <w:bottom w:w="100" w:type="dxa"/>
              <w:right w:w="100" w:type="dxa"/>
            </w:tcMar>
            <w:vAlign w:val="center"/>
          </w:tcPr>
          <w:p w14:paraId="22A0F85A" w14:textId="5C95A309" w:rsidR="00E26164" w:rsidRPr="003A1842" w:rsidRDefault="00E26164" w:rsidP="00D25422">
            <w:pPr>
              <w:widowControl w:val="0"/>
              <w:jc w:val="center"/>
              <w:rPr>
                <w:sz w:val="15"/>
                <w:szCs w:val="15"/>
              </w:rPr>
            </w:pPr>
            <w:r w:rsidRPr="003A1842">
              <w:rPr>
                <w:sz w:val="15"/>
                <w:szCs w:val="15"/>
              </w:rPr>
              <w:t>9.5 (0.084)</w:t>
            </w:r>
          </w:p>
        </w:tc>
        <w:tc>
          <w:tcPr>
            <w:tcW w:w="664" w:type="dxa"/>
            <w:tcBorders>
              <w:top w:val="single" w:sz="8" w:space="0" w:color="000000"/>
              <w:bottom w:val="single" w:sz="4" w:space="0" w:color="000000"/>
              <w:right w:val="single" w:sz="18" w:space="0" w:color="auto"/>
            </w:tcBorders>
            <w:shd w:val="clear" w:color="auto" w:fill="auto"/>
            <w:tcMar>
              <w:top w:w="100" w:type="dxa"/>
              <w:left w:w="100" w:type="dxa"/>
              <w:bottom w:w="100" w:type="dxa"/>
              <w:right w:w="100" w:type="dxa"/>
            </w:tcMar>
            <w:vAlign w:val="center"/>
          </w:tcPr>
          <w:p w14:paraId="1464568F" w14:textId="77777777" w:rsidR="00E26164" w:rsidRPr="003A1842" w:rsidRDefault="00E26164" w:rsidP="00D25422">
            <w:pPr>
              <w:widowControl w:val="0"/>
              <w:jc w:val="center"/>
              <w:rPr>
                <w:sz w:val="15"/>
                <w:szCs w:val="15"/>
              </w:rPr>
            </w:pPr>
            <w:r w:rsidRPr="003A1842">
              <w:rPr>
                <w:sz w:val="15"/>
                <w:szCs w:val="15"/>
              </w:rPr>
              <w:t>-</w:t>
            </w:r>
          </w:p>
        </w:tc>
        <w:tc>
          <w:tcPr>
            <w:tcW w:w="670" w:type="dxa"/>
            <w:tcBorders>
              <w:left w:val="single" w:sz="18" w:space="0" w:color="auto"/>
              <w:bottom w:val="single" w:sz="4" w:space="0" w:color="000000"/>
            </w:tcBorders>
            <w:shd w:val="clear" w:color="auto" w:fill="auto"/>
            <w:tcMar>
              <w:top w:w="100" w:type="dxa"/>
              <w:left w:w="100" w:type="dxa"/>
              <w:bottom w:w="100" w:type="dxa"/>
              <w:right w:w="100" w:type="dxa"/>
            </w:tcMar>
            <w:vAlign w:val="center"/>
          </w:tcPr>
          <w:p w14:paraId="4B7D1E6D" w14:textId="77777777" w:rsidR="00E26164" w:rsidRPr="003A1842" w:rsidRDefault="00E26164" w:rsidP="00D25422">
            <w:pPr>
              <w:widowControl w:val="0"/>
              <w:jc w:val="center"/>
              <w:rPr>
                <w:sz w:val="15"/>
                <w:szCs w:val="15"/>
              </w:rPr>
            </w:pPr>
          </w:p>
        </w:tc>
        <w:tc>
          <w:tcPr>
            <w:tcW w:w="681" w:type="dxa"/>
            <w:tcBorders>
              <w:bottom w:val="single" w:sz="4" w:space="0" w:color="000000"/>
            </w:tcBorders>
            <w:shd w:val="clear" w:color="auto" w:fill="auto"/>
            <w:tcMar>
              <w:top w:w="100" w:type="dxa"/>
              <w:left w:w="100" w:type="dxa"/>
              <w:bottom w:w="100" w:type="dxa"/>
              <w:right w:w="100" w:type="dxa"/>
            </w:tcMar>
            <w:vAlign w:val="center"/>
          </w:tcPr>
          <w:p w14:paraId="1A052B65" w14:textId="15C36015" w:rsidR="00E26164" w:rsidRPr="003A1842" w:rsidRDefault="00E26164" w:rsidP="00D25422">
            <w:pPr>
              <w:widowControl w:val="0"/>
              <w:jc w:val="center"/>
              <w:rPr>
                <w:sz w:val="15"/>
                <w:szCs w:val="15"/>
              </w:rPr>
            </w:pPr>
            <w:r w:rsidRPr="003A1842">
              <w:rPr>
                <w:sz w:val="15"/>
                <w:szCs w:val="15"/>
              </w:rPr>
              <w:t>0.8 (0.9)</w:t>
            </w:r>
          </w:p>
        </w:tc>
        <w:tc>
          <w:tcPr>
            <w:tcW w:w="719" w:type="dxa"/>
            <w:tcBorders>
              <w:bottom w:val="single" w:sz="4" w:space="0" w:color="000000"/>
            </w:tcBorders>
            <w:shd w:val="clear" w:color="auto" w:fill="auto"/>
            <w:tcMar>
              <w:top w:w="100" w:type="dxa"/>
              <w:left w:w="100" w:type="dxa"/>
              <w:bottom w:w="100" w:type="dxa"/>
              <w:right w:w="100" w:type="dxa"/>
            </w:tcMar>
            <w:vAlign w:val="center"/>
          </w:tcPr>
          <w:p w14:paraId="535E7577" w14:textId="030360D4" w:rsidR="00E26164" w:rsidRPr="003A1842" w:rsidRDefault="00E26164" w:rsidP="00D25422">
            <w:pPr>
              <w:widowControl w:val="0"/>
              <w:jc w:val="center"/>
              <w:rPr>
                <w:sz w:val="15"/>
                <w:szCs w:val="15"/>
              </w:rPr>
            </w:pPr>
          </w:p>
        </w:tc>
        <w:tc>
          <w:tcPr>
            <w:tcW w:w="719" w:type="dxa"/>
            <w:tcBorders>
              <w:bottom w:val="single" w:sz="4" w:space="0" w:color="000000"/>
            </w:tcBorders>
            <w:shd w:val="clear" w:color="auto" w:fill="auto"/>
            <w:tcMar>
              <w:top w:w="100" w:type="dxa"/>
              <w:left w:w="100" w:type="dxa"/>
              <w:bottom w:w="100" w:type="dxa"/>
              <w:right w:w="100" w:type="dxa"/>
            </w:tcMar>
            <w:vAlign w:val="center"/>
          </w:tcPr>
          <w:p w14:paraId="69CD43C6" w14:textId="05EB3502" w:rsidR="00E26164" w:rsidRPr="003A1842" w:rsidRDefault="00E26164" w:rsidP="00D25422">
            <w:pPr>
              <w:widowControl w:val="0"/>
              <w:jc w:val="center"/>
              <w:rPr>
                <w:sz w:val="15"/>
                <w:szCs w:val="15"/>
              </w:rPr>
            </w:pPr>
            <w:r w:rsidRPr="003A1842">
              <w:rPr>
                <w:sz w:val="15"/>
                <w:szCs w:val="15"/>
              </w:rPr>
              <w:t>5.5 (0.17)</w:t>
            </w:r>
          </w:p>
        </w:tc>
        <w:tc>
          <w:tcPr>
            <w:tcW w:w="719" w:type="dxa"/>
            <w:tcBorders>
              <w:bottom w:val="single" w:sz="4" w:space="0" w:color="000000"/>
            </w:tcBorders>
            <w:shd w:val="clear" w:color="auto" w:fill="auto"/>
            <w:tcMar>
              <w:top w:w="100" w:type="dxa"/>
              <w:left w:w="100" w:type="dxa"/>
              <w:bottom w:w="100" w:type="dxa"/>
              <w:right w:w="100" w:type="dxa"/>
            </w:tcMar>
            <w:vAlign w:val="center"/>
          </w:tcPr>
          <w:p w14:paraId="02ADF234" w14:textId="0EDE1908" w:rsidR="00E26164" w:rsidRPr="003A1842" w:rsidRDefault="00E26164" w:rsidP="00D25422">
            <w:pPr>
              <w:widowControl w:val="0"/>
              <w:jc w:val="center"/>
              <w:rPr>
                <w:sz w:val="15"/>
                <w:szCs w:val="15"/>
              </w:rPr>
            </w:pPr>
            <w:r w:rsidRPr="003A1842">
              <w:rPr>
                <w:sz w:val="15"/>
                <w:szCs w:val="15"/>
              </w:rPr>
              <w:t>0.15 (1.0)</w:t>
            </w:r>
          </w:p>
        </w:tc>
        <w:tc>
          <w:tcPr>
            <w:tcW w:w="719" w:type="dxa"/>
            <w:tcBorders>
              <w:top w:val="single" w:sz="8" w:space="0" w:color="000000"/>
              <w:bottom w:val="single" w:sz="4" w:space="0" w:color="000000"/>
              <w:right w:val="single" w:sz="18" w:space="0" w:color="auto"/>
            </w:tcBorders>
            <w:shd w:val="clear" w:color="auto" w:fill="auto"/>
            <w:tcMar>
              <w:top w:w="100" w:type="dxa"/>
              <w:left w:w="100" w:type="dxa"/>
              <w:bottom w:w="100" w:type="dxa"/>
              <w:right w:w="100" w:type="dxa"/>
            </w:tcMar>
            <w:vAlign w:val="center"/>
          </w:tcPr>
          <w:p w14:paraId="66315E40" w14:textId="77777777" w:rsidR="00E26164" w:rsidRPr="003A1842" w:rsidRDefault="00E26164" w:rsidP="00D25422">
            <w:pPr>
              <w:widowControl w:val="0"/>
              <w:jc w:val="center"/>
              <w:rPr>
                <w:sz w:val="15"/>
                <w:szCs w:val="15"/>
              </w:rPr>
            </w:pPr>
            <w:r w:rsidRPr="003A1842">
              <w:rPr>
                <w:sz w:val="15"/>
                <w:szCs w:val="15"/>
              </w:rPr>
              <w:t>-</w:t>
            </w:r>
          </w:p>
        </w:tc>
      </w:tr>
      <w:tr w:rsidR="00E26164" w14:paraId="09B1A782" w14:textId="77777777" w:rsidTr="00D25422">
        <w:trPr>
          <w:trHeight w:val="22"/>
        </w:trPr>
        <w:tc>
          <w:tcPr>
            <w:tcW w:w="1454" w:type="dxa"/>
            <w:gridSpan w:val="2"/>
            <w:tcBorders>
              <w:bottom w:val="single" w:sz="8" w:space="0" w:color="000000"/>
              <w:right w:val="single" w:sz="18" w:space="0" w:color="auto"/>
            </w:tcBorders>
            <w:shd w:val="clear" w:color="auto" w:fill="auto"/>
            <w:vAlign w:val="center"/>
          </w:tcPr>
          <w:p w14:paraId="19AD2472" w14:textId="4E56F124" w:rsidR="00E26164" w:rsidRPr="006F0399" w:rsidRDefault="00E26164" w:rsidP="00D25422">
            <w:pPr>
              <w:widowControl w:val="0"/>
              <w:jc w:val="center"/>
              <w:rPr>
                <w:b/>
                <w:sz w:val="22"/>
                <w:szCs w:val="15"/>
              </w:rPr>
            </w:pPr>
            <w:r w:rsidRPr="006F0399">
              <w:rPr>
                <w:b/>
                <w:sz w:val="22"/>
                <w:szCs w:val="15"/>
              </w:rPr>
              <w:t>% mature</w:t>
            </w:r>
          </w:p>
        </w:tc>
        <w:tc>
          <w:tcPr>
            <w:tcW w:w="715" w:type="dxa"/>
            <w:tcBorders>
              <w:top w:val="single" w:sz="4" w:space="0" w:color="000000"/>
              <w:left w:val="single" w:sz="18" w:space="0" w:color="auto"/>
              <w:bottom w:val="single" w:sz="18" w:space="0" w:color="auto"/>
            </w:tcBorders>
            <w:shd w:val="clear" w:color="auto" w:fill="auto"/>
            <w:tcMar>
              <w:top w:w="100" w:type="dxa"/>
              <w:left w:w="100" w:type="dxa"/>
              <w:bottom w:w="100" w:type="dxa"/>
              <w:right w:w="100" w:type="dxa"/>
            </w:tcMar>
            <w:vAlign w:val="center"/>
          </w:tcPr>
          <w:p w14:paraId="225BE25D" w14:textId="77F2D10A" w:rsidR="00E26164" w:rsidRDefault="00E26164" w:rsidP="00D25422">
            <w:pPr>
              <w:widowControl w:val="0"/>
              <w:jc w:val="center"/>
              <w:rPr>
                <w:sz w:val="18"/>
                <w:szCs w:val="18"/>
              </w:rPr>
            </w:pPr>
            <w:r>
              <w:rPr>
                <w:sz w:val="18"/>
                <w:szCs w:val="18"/>
              </w:rPr>
              <w:t>30%</w:t>
            </w:r>
          </w:p>
        </w:tc>
        <w:tc>
          <w:tcPr>
            <w:tcW w:w="677" w:type="dxa"/>
            <w:gridSpan w:val="2"/>
            <w:tcBorders>
              <w:top w:val="single" w:sz="4" w:space="0" w:color="000000"/>
              <w:bottom w:val="single" w:sz="18" w:space="0" w:color="auto"/>
            </w:tcBorders>
            <w:shd w:val="clear" w:color="auto" w:fill="auto"/>
            <w:tcMar>
              <w:top w:w="100" w:type="dxa"/>
              <w:left w:w="100" w:type="dxa"/>
              <w:bottom w:w="100" w:type="dxa"/>
              <w:right w:w="100" w:type="dxa"/>
            </w:tcMar>
            <w:vAlign w:val="center"/>
          </w:tcPr>
          <w:p w14:paraId="3A07BF0F" w14:textId="5CE322D6" w:rsidR="00E26164" w:rsidRDefault="00E26164" w:rsidP="00D25422">
            <w:pPr>
              <w:widowControl w:val="0"/>
              <w:jc w:val="center"/>
              <w:rPr>
                <w:sz w:val="18"/>
                <w:szCs w:val="18"/>
              </w:rPr>
            </w:pPr>
            <w:r>
              <w:rPr>
                <w:sz w:val="18"/>
                <w:szCs w:val="18"/>
              </w:rPr>
              <w:t>28%</w:t>
            </w:r>
          </w:p>
        </w:tc>
        <w:tc>
          <w:tcPr>
            <w:tcW w:w="675" w:type="dxa"/>
            <w:gridSpan w:val="3"/>
            <w:tcBorders>
              <w:top w:val="single" w:sz="4" w:space="0" w:color="000000"/>
              <w:bottom w:val="single" w:sz="18" w:space="0" w:color="auto"/>
            </w:tcBorders>
            <w:shd w:val="clear" w:color="auto" w:fill="auto"/>
            <w:tcMar>
              <w:top w:w="100" w:type="dxa"/>
              <w:left w:w="100" w:type="dxa"/>
              <w:bottom w:w="100" w:type="dxa"/>
              <w:right w:w="100" w:type="dxa"/>
            </w:tcMar>
            <w:vAlign w:val="center"/>
          </w:tcPr>
          <w:p w14:paraId="563981E8" w14:textId="10BC5F5C" w:rsidR="00E26164" w:rsidRDefault="00E26164" w:rsidP="00D25422">
            <w:pPr>
              <w:widowControl w:val="0"/>
              <w:jc w:val="center"/>
              <w:rPr>
                <w:sz w:val="18"/>
                <w:szCs w:val="18"/>
              </w:rPr>
            </w:pPr>
            <w:r>
              <w:rPr>
                <w:sz w:val="18"/>
                <w:szCs w:val="18"/>
              </w:rPr>
              <w:t>15%</w:t>
            </w:r>
          </w:p>
        </w:tc>
        <w:tc>
          <w:tcPr>
            <w:tcW w:w="659" w:type="dxa"/>
            <w:gridSpan w:val="2"/>
            <w:tcBorders>
              <w:top w:val="single" w:sz="4" w:space="0" w:color="000000"/>
              <w:bottom w:val="single" w:sz="18" w:space="0" w:color="auto"/>
            </w:tcBorders>
            <w:shd w:val="clear" w:color="auto" w:fill="auto"/>
            <w:tcMar>
              <w:top w:w="100" w:type="dxa"/>
              <w:left w:w="100" w:type="dxa"/>
              <w:bottom w:w="100" w:type="dxa"/>
              <w:right w:w="100" w:type="dxa"/>
            </w:tcMar>
            <w:vAlign w:val="center"/>
          </w:tcPr>
          <w:p w14:paraId="77398ADA" w14:textId="6C627FF8" w:rsidR="00E26164" w:rsidRDefault="00E26164" w:rsidP="00D25422">
            <w:pPr>
              <w:widowControl w:val="0"/>
              <w:jc w:val="center"/>
              <w:rPr>
                <w:sz w:val="18"/>
                <w:szCs w:val="18"/>
              </w:rPr>
            </w:pPr>
            <w:r>
              <w:rPr>
                <w:sz w:val="18"/>
                <w:szCs w:val="18"/>
              </w:rPr>
              <w:t>19%</w:t>
            </w:r>
          </w:p>
        </w:tc>
        <w:tc>
          <w:tcPr>
            <w:tcW w:w="662" w:type="dxa"/>
            <w:tcBorders>
              <w:top w:val="single" w:sz="4" w:space="0" w:color="000000"/>
              <w:bottom w:val="single" w:sz="18" w:space="0" w:color="auto"/>
            </w:tcBorders>
            <w:shd w:val="clear" w:color="auto" w:fill="auto"/>
            <w:tcMar>
              <w:top w:w="100" w:type="dxa"/>
              <w:left w:w="100" w:type="dxa"/>
              <w:bottom w:w="100" w:type="dxa"/>
              <w:right w:w="100" w:type="dxa"/>
            </w:tcMar>
            <w:vAlign w:val="center"/>
          </w:tcPr>
          <w:p w14:paraId="7590CAC6" w14:textId="50143973" w:rsidR="00E26164" w:rsidRDefault="00E26164" w:rsidP="00D25422">
            <w:pPr>
              <w:widowControl w:val="0"/>
              <w:jc w:val="center"/>
              <w:rPr>
                <w:sz w:val="18"/>
                <w:szCs w:val="18"/>
              </w:rPr>
            </w:pPr>
            <w:r>
              <w:rPr>
                <w:sz w:val="18"/>
                <w:szCs w:val="18"/>
              </w:rPr>
              <w:t>33%</w:t>
            </w:r>
          </w:p>
        </w:tc>
        <w:tc>
          <w:tcPr>
            <w:tcW w:w="664" w:type="dxa"/>
            <w:tcBorders>
              <w:top w:val="single" w:sz="4" w:space="0" w:color="000000"/>
              <w:bottom w:val="single" w:sz="18" w:space="0" w:color="auto"/>
              <w:right w:val="single" w:sz="18" w:space="0" w:color="auto"/>
            </w:tcBorders>
            <w:shd w:val="clear" w:color="auto" w:fill="auto"/>
            <w:tcMar>
              <w:top w:w="100" w:type="dxa"/>
              <w:left w:w="100" w:type="dxa"/>
              <w:bottom w:w="100" w:type="dxa"/>
              <w:right w:w="100" w:type="dxa"/>
            </w:tcMar>
            <w:vAlign w:val="center"/>
          </w:tcPr>
          <w:p w14:paraId="4EBFF841" w14:textId="32ECC0E0" w:rsidR="00E26164" w:rsidRDefault="00E26164" w:rsidP="00D25422">
            <w:pPr>
              <w:widowControl w:val="0"/>
              <w:jc w:val="center"/>
              <w:rPr>
                <w:sz w:val="18"/>
                <w:szCs w:val="18"/>
              </w:rPr>
            </w:pPr>
            <w:r>
              <w:rPr>
                <w:sz w:val="18"/>
                <w:szCs w:val="18"/>
              </w:rPr>
              <w:t>21%</w:t>
            </w:r>
          </w:p>
        </w:tc>
        <w:tc>
          <w:tcPr>
            <w:tcW w:w="670" w:type="dxa"/>
            <w:tcBorders>
              <w:top w:val="single" w:sz="4" w:space="0" w:color="000000"/>
              <w:left w:val="single" w:sz="18" w:space="0" w:color="auto"/>
              <w:bottom w:val="single" w:sz="18" w:space="0" w:color="auto"/>
            </w:tcBorders>
            <w:shd w:val="clear" w:color="auto" w:fill="auto"/>
            <w:tcMar>
              <w:top w:w="100" w:type="dxa"/>
              <w:left w:w="100" w:type="dxa"/>
              <w:bottom w:w="100" w:type="dxa"/>
              <w:right w:w="100" w:type="dxa"/>
            </w:tcMar>
            <w:vAlign w:val="center"/>
          </w:tcPr>
          <w:p w14:paraId="621ED75D" w14:textId="65768324" w:rsidR="00E26164" w:rsidRDefault="00E26164" w:rsidP="00D25422">
            <w:pPr>
              <w:widowControl w:val="0"/>
              <w:jc w:val="center"/>
              <w:rPr>
                <w:sz w:val="18"/>
                <w:szCs w:val="18"/>
              </w:rPr>
            </w:pPr>
            <w:r>
              <w:rPr>
                <w:sz w:val="18"/>
                <w:szCs w:val="18"/>
              </w:rPr>
              <w:t>2%</w:t>
            </w:r>
          </w:p>
        </w:tc>
        <w:tc>
          <w:tcPr>
            <w:tcW w:w="681" w:type="dxa"/>
            <w:tcBorders>
              <w:top w:val="single" w:sz="4" w:space="0" w:color="000000"/>
              <w:bottom w:val="single" w:sz="18" w:space="0" w:color="auto"/>
            </w:tcBorders>
            <w:shd w:val="clear" w:color="auto" w:fill="auto"/>
            <w:tcMar>
              <w:top w:w="100" w:type="dxa"/>
              <w:left w:w="100" w:type="dxa"/>
              <w:bottom w:w="100" w:type="dxa"/>
              <w:right w:w="100" w:type="dxa"/>
            </w:tcMar>
            <w:vAlign w:val="center"/>
          </w:tcPr>
          <w:p w14:paraId="543900F2" w14:textId="4C40C2BF" w:rsidR="00E26164" w:rsidRDefault="00E26164" w:rsidP="00D25422">
            <w:pPr>
              <w:widowControl w:val="0"/>
              <w:jc w:val="center"/>
              <w:rPr>
                <w:sz w:val="18"/>
                <w:szCs w:val="18"/>
              </w:rPr>
            </w:pPr>
            <w:r>
              <w:rPr>
                <w:sz w:val="18"/>
                <w:szCs w:val="18"/>
              </w:rPr>
              <w:t>15%</w:t>
            </w:r>
          </w:p>
        </w:tc>
        <w:tc>
          <w:tcPr>
            <w:tcW w:w="719" w:type="dxa"/>
            <w:tcBorders>
              <w:top w:val="single" w:sz="4" w:space="0" w:color="000000"/>
              <w:bottom w:val="single" w:sz="18" w:space="0" w:color="auto"/>
            </w:tcBorders>
            <w:shd w:val="clear" w:color="auto" w:fill="auto"/>
            <w:tcMar>
              <w:top w:w="100" w:type="dxa"/>
              <w:left w:w="100" w:type="dxa"/>
              <w:bottom w:w="100" w:type="dxa"/>
              <w:right w:w="100" w:type="dxa"/>
            </w:tcMar>
            <w:vAlign w:val="center"/>
          </w:tcPr>
          <w:p w14:paraId="29E62EEA" w14:textId="6B7BFFD0" w:rsidR="00E26164" w:rsidRDefault="00E26164" w:rsidP="00D25422">
            <w:pPr>
              <w:widowControl w:val="0"/>
              <w:jc w:val="center"/>
              <w:rPr>
                <w:sz w:val="18"/>
                <w:szCs w:val="18"/>
              </w:rPr>
            </w:pPr>
            <w:r>
              <w:rPr>
                <w:sz w:val="18"/>
                <w:szCs w:val="18"/>
              </w:rPr>
              <w:t>8%</w:t>
            </w:r>
          </w:p>
        </w:tc>
        <w:tc>
          <w:tcPr>
            <w:tcW w:w="719" w:type="dxa"/>
            <w:tcBorders>
              <w:top w:val="single" w:sz="4" w:space="0" w:color="000000"/>
              <w:bottom w:val="single" w:sz="18" w:space="0" w:color="auto"/>
            </w:tcBorders>
            <w:shd w:val="clear" w:color="auto" w:fill="auto"/>
            <w:tcMar>
              <w:top w:w="100" w:type="dxa"/>
              <w:left w:w="100" w:type="dxa"/>
              <w:bottom w:w="100" w:type="dxa"/>
              <w:right w:w="100" w:type="dxa"/>
            </w:tcMar>
            <w:vAlign w:val="center"/>
          </w:tcPr>
          <w:p w14:paraId="7EA2892A" w14:textId="18EDBE71" w:rsidR="00E26164" w:rsidRDefault="00E26164" w:rsidP="00D25422">
            <w:pPr>
              <w:widowControl w:val="0"/>
              <w:jc w:val="center"/>
              <w:rPr>
                <w:sz w:val="18"/>
                <w:szCs w:val="18"/>
              </w:rPr>
            </w:pPr>
            <w:r>
              <w:rPr>
                <w:sz w:val="18"/>
                <w:szCs w:val="18"/>
              </w:rPr>
              <w:t>6%</w:t>
            </w:r>
          </w:p>
        </w:tc>
        <w:tc>
          <w:tcPr>
            <w:tcW w:w="719" w:type="dxa"/>
            <w:tcBorders>
              <w:top w:val="single" w:sz="4" w:space="0" w:color="000000"/>
              <w:bottom w:val="single" w:sz="18" w:space="0" w:color="auto"/>
            </w:tcBorders>
            <w:shd w:val="clear" w:color="auto" w:fill="auto"/>
            <w:tcMar>
              <w:top w:w="100" w:type="dxa"/>
              <w:left w:w="100" w:type="dxa"/>
              <w:bottom w:w="100" w:type="dxa"/>
              <w:right w:w="100" w:type="dxa"/>
            </w:tcMar>
            <w:vAlign w:val="center"/>
          </w:tcPr>
          <w:p w14:paraId="3C751F5F" w14:textId="17B07B9B" w:rsidR="00E26164" w:rsidRDefault="00E26164" w:rsidP="00D25422">
            <w:pPr>
              <w:widowControl w:val="0"/>
              <w:jc w:val="center"/>
              <w:rPr>
                <w:sz w:val="18"/>
                <w:szCs w:val="18"/>
              </w:rPr>
            </w:pPr>
            <w:r>
              <w:rPr>
                <w:sz w:val="18"/>
                <w:szCs w:val="18"/>
              </w:rPr>
              <w:t>18%</w:t>
            </w:r>
          </w:p>
        </w:tc>
        <w:tc>
          <w:tcPr>
            <w:tcW w:w="719" w:type="dxa"/>
            <w:tcBorders>
              <w:top w:val="single" w:sz="4" w:space="0" w:color="000000"/>
              <w:bottom w:val="single" w:sz="18" w:space="0" w:color="auto"/>
              <w:right w:val="single" w:sz="18" w:space="0" w:color="auto"/>
            </w:tcBorders>
            <w:shd w:val="clear" w:color="auto" w:fill="auto"/>
            <w:tcMar>
              <w:top w:w="100" w:type="dxa"/>
              <w:left w:w="100" w:type="dxa"/>
              <w:bottom w:w="100" w:type="dxa"/>
              <w:right w:w="100" w:type="dxa"/>
            </w:tcMar>
            <w:vAlign w:val="center"/>
          </w:tcPr>
          <w:p w14:paraId="744156F3" w14:textId="6882A074" w:rsidR="00E26164" w:rsidRDefault="00E26164" w:rsidP="00D25422">
            <w:pPr>
              <w:widowControl w:val="0"/>
              <w:jc w:val="center"/>
              <w:rPr>
                <w:sz w:val="18"/>
                <w:szCs w:val="18"/>
              </w:rPr>
            </w:pPr>
            <w:r>
              <w:rPr>
                <w:sz w:val="18"/>
                <w:szCs w:val="18"/>
              </w:rPr>
              <w:t>21%</w:t>
            </w:r>
          </w:p>
        </w:tc>
      </w:tr>
    </w:tbl>
    <w:p w14:paraId="43E0A689" w14:textId="77777777" w:rsidR="001554ED" w:rsidRDefault="001554ED" w:rsidP="001554ED">
      <w:pPr>
        <w:suppressLineNumbers/>
        <w:rPr>
          <w:b/>
          <w:sz w:val="36"/>
          <w:szCs w:val="36"/>
        </w:rPr>
      </w:pPr>
    </w:p>
    <w:tbl>
      <w:tblPr>
        <w:tblStyle w:val="a1"/>
        <w:tblW w:w="9839" w:type="dxa"/>
        <w:tblInd w:w="-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6"/>
        <w:gridCol w:w="872"/>
        <w:gridCol w:w="872"/>
        <w:gridCol w:w="872"/>
        <w:gridCol w:w="871"/>
        <w:gridCol w:w="871"/>
        <w:gridCol w:w="871"/>
        <w:gridCol w:w="871"/>
        <w:gridCol w:w="871"/>
        <w:gridCol w:w="871"/>
        <w:gridCol w:w="871"/>
      </w:tblGrid>
      <w:tr w:rsidR="002B18E0" w14:paraId="397C6030" w14:textId="77777777" w:rsidTr="00457E21">
        <w:trPr>
          <w:trHeight w:val="440"/>
        </w:trPr>
        <w:tc>
          <w:tcPr>
            <w:tcW w:w="9839" w:type="dxa"/>
            <w:gridSpan w:val="11"/>
            <w:shd w:val="clear" w:color="auto" w:fill="auto"/>
            <w:tcMar>
              <w:top w:w="100" w:type="dxa"/>
              <w:left w:w="100" w:type="dxa"/>
              <w:bottom w:w="100" w:type="dxa"/>
              <w:right w:w="100" w:type="dxa"/>
            </w:tcMar>
          </w:tcPr>
          <w:p w14:paraId="4E414838" w14:textId="0DB440DD" w:rsidR="002B18E0" w:rsidRDefault="002B18E0" w:rsidP="00457E21">
            <w:pPr>
              <w:spacing w:line="480" w:lineRule="auto"/>
              <w:rPr>
                <w:i/>
              </w:rPr>
            </w:pPr>
            <w:r>
              <w:rPr>
                <w:b/>
              </w:rPr>
              <w:t xml:space="preserve">Table 3: </w:t>
            </w:r>
            <w:r w:rsidRPr="00960525">
              <w:rPr>
                <w:b/>
              </w:rPr>
              <w:t>Offspring survival in the field</w:t>
            </w:r>
            <w:r>
              <w:t>. 1-year old juveniles were deployed for 3 months in four bays in Puget Sound, Washington, in 2 sites per bay. Percent survival ± SD is shown by cohort x bay x parental pCO</w:t>
            </w:r>
            <w:r>
              <w:rPr>
                <w:vertAlign w:val="subscript"/>
              </w:rPr>
              <w:t>2</w:t>
            </w:r>
            <w:r>
              <w:t xml:space="preserve"> treatment (</w:t>
            </w:r>
            <w:proofErr w:type="spellStart"/>
            <w:r>
              <w:t>Amb</w:t>
            </w:r>
            <w:proofErr w:type="spellEnd"/>
            <w:r>
              <w:t>=841±85 µ</w:t>
            </w:r>
            <w:proofErr w:type="spellStart"/>
            <w:r>
              <w:t>atm</w:t>
            </w:r>
            <w:proofErr w:type="spellEnd"/>
            <w:r>
              <w:t>, High= 3045±488 µ</w:t>
            </w:r>
            <w:proofErr w:type="spellStart"/>
            <w:r>
              <w:t>atm</w:t>
            </w:r>
            <w:proofErr w:type="spellEnd"/>
            <w:r>
              <w:t xml:space="preserve">). Only offspring from 6°C-treated adults were deployed. </w:t>
            </w:r>
            <w:r w:rsidR="00067B3E">
              <w:t>S</w:t>
            </w:r>
            <w:r>
              <w:t>ignificant survival difference</w:t>
            </w:r>
            <w:r w:rsidR="00B83A35">
              <w:t>s were detected between</w:t>
            </w:r>
            <w:r>
              <w:t xml:space="preserve"> parental pCO</w:t>
            </w:r>
            <w:r>
              <w:rPr>
                <w:vertAlign w:val="subscript"/>
              </w:rPr>
              <w:t xml:space="preserve">2 </w:t>
            </w:r>
            <w:r>
              <w:t>treatment</w:t>
            </w:r>
            <w:r w:rsidR="00B83A35">
              <w:t xml:space="preserve"> within the </w:t>
            </w:r>
            <w:proofErr w:type="spellStart"/>
            <w:r w:rsidR="00B83A35">
              <w:t>Fidalgo</w:t>
            </w:r>
            <w:proofErr w:type="spellEnd"/>
            <w:r w:rsidR="00B83A35">
              <w:t xml:space="preserve"> Bay and Oyster Bay F2 cohorts (*), and across all cohorts (+).</w:t>
            </w:r>
          </w:p>
        </w:tc>
      </w:tr>
      <w:tr w:rsidR="002B18E0" w14:paraId="558EF907" w14:textId="77777777" w:rsidTr="00457E21">
        <w:trPr>
          <w:trHeight w:val="400"/>
        </w:trPr>
        <w:tc>
          <w:tcPr>
            <w:tcW w:w="1126" w:type="dxa"/>
            <w:tcBorders>
              <w:bottom w:val="single" w:sz="8" w:space="0" w:color="000000"/>
              <w:right w:val="single" w:sz="18" w:space="0" w:color="000000"/>
            </w:tcBorders>
            <w:shd w:val="clear" w:color="auto" w:fill="auto"/>
            <w:tcMar>
              <w:top w:w="100" w:type="dxa"/>
              <w:left w:w="100" w:type="dxa"/>
              <w:bottom w:w="100" w:type="dxa"/>
              <w:right w:w="100" w:type="dxa"/>
            </w:tcMar>
          </w:tcPr>
          <w:p w14:paraId="7382F517" w14:textId="77777777" w:rsidR="002B18E0" w:rsidRPr="00B85906" w:rsidRDefault="002B18E0" w:rsidP="001F5BDB">
            <w:pPr>
              <w:widowControl w:val="0"/>
              <w:jc w:val="center"/>
              <w:rPr>
                <w:sz w:val="20"/>
                <w:szCs w:val="20"/>
              </w:rPr>
            </w:pPr>
            <w:r w:rsidRPr="00B85906">
              <w:rPr>
                <w:rFonts w:eastAsia="Cardo"/>
                <w:sz w:val="20"/>
                <w:szCs w:val="20"/>
              </w:rPr>
              <w:t xml:space="preserve">Cohort → </w:t>
            </w:r>
          </w:p>
        </w:tc>
        <w:tc>
          <w:tcPr>
            <w:tcW w:w="1744" w:type="dxa"/>
            <w:gridSpan w:val="2"/>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02016387" w14:textId="77777777" w:rsidR="002B18E0" w:rsidRPr="00B85906" w:rsidRDefault="002B18E0" w:rsidP="001F5BDB">
            <w:pPr>
              <w:widowControl w:val="0"/>
              <w:jc w:val="center"/>
              <w:rPr>
                <w:sz w:val="22"/>
                <w:szCs w:val="22"/>
              </w:rPr>
            </w:pPr>
            <w:proofErr w:type="spellStart"/>
            <w:r w:rsidRPr="00B85906">
              <w:rPr>
                <w:sz w:val="22"/>
                <w:szCs w:val="22"/>
              </w:rPr>
              <w:t>Fidalgo</w:t>
            </w:r>
            <w:proofErr w:type="spellEnd"/>
            <w:r w:rsidRPr="00B85906">
              <w:rPr>
                <w:sz w:val="22"/>
                <w:szCs w:val="22"/>
              </w:rPr>
              <w:t xml:space="preserve"> Bay (F)</w:t>
            </w:r>
          </w:p>
        </w:tc>
        <w:tc>
          <w:tcPr>
            <w:tcW w:w="1743" w:type="dxa"/>
            <w:gridSpan w:val="2"/>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0A53E260" w14:textId="77777777" w:rsidR="002B18E0" w:rsidRPr="00B85906" w:rsidRDefault="002B18E0" w:rsidP="001F5BDB">
            <w:pPr>
              <w:widowControl w:val="0"/>
              <w:jc w:val="center"/>
              <w:rPr>
                <w:sz w:val="22"/>
                <w:szCs w:val="22"/>
              </w:rPr>
            </w:pPr>
            <w:proofErr w:type="spellStart"/>
            <w:r w:rsidRPr="00B85906">
              <w:rPr>
                <w:sz w:val="22"/>
                <w:szCs w:val="22"/>
              </w:rPr>
              <w:t>Dabob</w:t>
            </w:r>
            <w:proofErr w:type="spellEnd"/>
            <w:r w:rsidRPr="00B85906">
              <w:rPr>
                <w:sz w:val="22"/>
                <w:szCs w:val="22"/>
              </w:rPr>
              <w:t xml:space="preserve"> Bay (D)</w:t>
            </w:r>
          </w:p>
        </w:tc>
        <w:tc>
          <w:tcPr>
            <w:tcW w:w="1742" w:type="dxa"/>
            <w:gridSpan w:val="2"/>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251BA23E" w14:textId="55FA1938" w:rsidR="003453F2" w:rsidRPr="00B85906" w:rsidRDefault="002B18E0" w:rsidP="001F5BDB">
            <w:pPr>
              <w:widowControl w:val="0"/>
              <w:jc w:val="center"/>
              <w:rPr>
                <w:sz w:val="22"/>
                <w:szCs w:val="22"/>
              </w:rPr>
            </w:pPr>
            <w:r w:rsidRPr="00B85906">
              <w:rPr>
                <w:sz w:val="22"/>
                <w:szCs w:val="22"/>
              </w:rPr>
              <w:t>Oyster Bay F1</w:t>
            </w:r>
          </w:p>
          <w:p w14:paraId="4F20366C" w14:textId="2D1F4EB8" w:rsidR="002B18E0" w:rsidRPr="00B85906" w:rsidRDefault="002B18E0" w:rsidP="001F5BDB">
            <w:pPr>
              <w:widowControl w:val="0"/>
              <w:jc w:val="center"/>
              <w:rPr>
                <w:sz w:val="22"/>
                <w:szCs w:val="22"/>
              </w:rPr>
            </w:pPr>
            <w:r w:rsidRPr="00B85906">
              <w:rPr>
                <w:sz w:val="22"/>
                <w:szCs w:val="22"/>
              </w:rPr>
              <w:t>(O-1)</w:t>
            </w:r>
          </w:p>
        </w:tc>
        <w:tc>
          <w:tcPr>
            <w:tcW w:w="1742" w:type="dxa"/>
            <w:gridSpan w:val="2"/>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1DD3809F" w14:textId="77777777" w:rsidR="003453F2" w:rsidRPr="00B85906" w:rsidRDefault="002B18E0" w:rsidP="001F5BDB">
            <w:pPr>
              <w:widowControl w:val="0"/>
              <w:jc w:val="center"/>
              <w:rPr>
                <w:sz w:val="22"/>
                <w:szCs w:val="22"/>
              </w:rPr>
            </w:pPr>
            <w:r w:rsidRPr="00B85906">
              <w:rPr>
                <w:sz w:val="22"/>
                <w:szCs w:val="22"/>
              </w:rPr>
              <w:t>Oyster Bay F2</w:t>
            </w:r>
          </w:p>
          <w:p w14:paraId="21D4AAE3" w14:textId="76A661CA" w:rsidR="002B18E0" w:rsidRPr="00B85906" w:rsidRDefault="002B18E0" w:rsidP="001F5BDB">
            <w:pPr>
              <w:widowControl w:val="0"/>
              <w:jc w:val="center"/>
              <w:rPr>
                <w:sz w:val="22"/>
                <w:szCs w:val="22"/>
              </w:rPr>
            </w:pPr>
            <w:r w:rsidRPr="00B85906">
              <w:rPr>
                <w:sz w:val="22"/>
                <w:szCs w:val="22"/>
              </w:rPr>
              <w:t>(O-2)</w:t>
            </w:r>
          </w:p>
        </w:tc>
        <w:tc>
          <w:tcPr>
            <w:tcW w:w="1742" w:type="dxa"/>
            <w:gridSpan w:val="2"/>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76AC92F7" w14:textId="77777777" w:rsidR="002B18E0" w:rsidRPr="00B85906" w:rsidRDefault="002B18E0" w:rsidP="001F5BDB">
            <w:pPr>
              <w:widowControl w:val="0"/>
              <w:jc w:val="center"/>
              <w:rPr>
                <w:sz w:val="22"/>
                <w:szCs w:val="22"/>
              </w:rPr>
            </w:pPr>
            <w:r w:rsidRPr="00B85906">
              <w:rPr>
                <w:sz w:val="22"/>
                <w:szCs w:val="22"/>
              </w:rPr>
              <w:t>All cohorts</w:t>
            </w:r>
          </w:p>
        </w:tc>
      </w:tr>
      <w:tr w:rsidR="00A078F8" w14:paraId="25BDAEDF" w14:textId="77777777" w:rsidTr="003B2E5D">
        <w:trPr>
          <w:trHeight w:val="645"/>
        </w:trPr>
        <w:tc>
          <w:tcPr>
            <w:tcW w:w="1126" w:type="dxa"/>
            <w:tcBorders>
              <w:bottom w:val="single" w:sz="8" w:space="0" w:color="000000"/>
              <w:right w:val="single" w:sz="18" w:space="0" w:color="000000"/>
            </w:tcBorders>
            <w:shd w:val="clear" w:color="auto" w:fill="auto"/>
            <w:tcMar>
              <w:top w:w="100" w:type="dxa"/>
              <w:left w:w="100" w:type="dxa"/>
              <w:bottom w:w="100" w:type="dxa"/>
              <w:right w:w="100" w:type="dxa"/>
            </w:tcMar>
          </w:tcPr>
          <w:p w14:paraId="68F45F93" w14:textId="77777777" w:rsidR="002B18E0" w:rsidRPr="00B85906" w:rsidRDefault="002B18E0" w:rsidP="001F5BDB">
            <w:pPr>
              <w:widowControl w:val="0"/>
              <w:jc w:val="center"/>
              <w:rPr>
                <w:sz w:val="20"/>
                <w:szCs w:val="20"/>
              </w:rPr>
            </w:pPr>
            <w:r w:rsidRPr="00B85906">
              <w:rPr>
                <w:sz w:val="20"/>
                <w:szCs w:val="20"/>
              </w:rPr>
              <w:t>pCO</w:t>
            </w:r>
            <w:r w:rsidRPr="00B85906">
              <w:rPr>
                <w:sz w:val="20"/>
                <w:szCs w:val="20"/>
                <w:vertAlign w:val="subscript"/>
              </w:rPr>
              <w:t>2</w:t>
            </w:r>
            <w:r w:rsidRPr="00B85906">
              <w:rPr>
                <w:rFonts w:eastAsia="Cardo"/>
                <w:sz w:val="20"/>
                <w:szCs w:val="20"/>
              </w:rPr>
              <w:t xml:space="preserve"> → </w:t>
            </w:r>
          </w:p>
          <w:p w14:paraId="02038909" w14:textId="77777777" w:rsidR="002B18E0" w:rsidRPr="00B85906" w:rsidRDefault="002B18E0" w:rsidP="001F5BDB">
            <w:pPr>
              <w:widowControl w:val="0"/>
              <w:jc w:val="center"/>
              <w:rPr>
                <w:sz w:val="20"/>
                <w:szCs w:val="20"/>
              </w:rPr>
            </w:pPr>
            <w:r w:rsidRPr="00B85906">
              <w:rPr>
                <w:rFonts w:eastAsia="Cardo"/>
                <w:sz w:val="20"/>
                <w:szCs w:val="20"/>
              </w:rPr>
              <w:t xml:space="preserve">Bay ↓ </w:t>
            </w:r>
          </w:p>
        </w:tc>
        <w:tc>
          <w:tcPr>
            <w:tcW w:w="872" w:type="dxa"/>
            <w:tcBorders>
              <w:left w:val="single" w:sz="18" w:space="0" w:color="000000"/>
              <w:bottom w:val="single" w:sz="12" w:space="0" w:color="auto"/>
            </w:tcBorders>
            <w:shd w:val="clear" w:color="auto" w:fill="auto"/>
            <w:tcMar>
              <w:top w:w="100" w:type="dxa"/>
              <w:left w:w="100" w:type="dxa"/>
              <w:bottom w:w="100" w:type="dxa"/>
              <w:right w:w="100" w:type="dxa"/>
            </w:tcMar>
          </w:tcPr>
          <w:p w14:paraId="5CACD0B2" w14:textId="77777777" w:rsidR="002B18E0" w:rsidRPr="00B85906" w:rsidRDefault="002B18E0" w:rsidP="001F5BDB">
            <w:pPr>
              <w:widowControl w:val="0"/>
              <w:jc w:val="center"/>
              <w:rPr>
                <w:sz w:val="22"/>
                <w:szCs w:val="22"/>
                <w:vertAlign w:val="subscript"/>
              </w:rPr>
            </w:pPr>
            <w:proofErr w:type="spellStart"/>
            <w:r w:rsidRPr="00B85906">
              <w:rPr>
                <w:sz w:val="22"/>
                <w:szCs w:val="22"/>
              </w:rPr>
              <w:t>Amb</w:t>
            </w:r>
            <w:proofErr w:type="spellEnd"/>
          </w:p>
        </w:tc>
        <w:tc>
          <w:tcPr>
            <w:tcW w:w="872" w:type="dxa"/>
            <w:tcBorders>
              <w:bottom w:val="single" w:sz="12" w:space="0" w:color="auto"/>
              <w:right w:val="single" w:sz="18" w:space="0" w:color="000000"/>
            </w:tcBorders>
            <w:shd w:val="clear" w:color="auto" w:fill="auto"/>
            <w:tcMar>
              <w:top w:w="100" w:type="dxa"/>
              <w:left w:w="100" w:type="dxa"/>
              <w:bottom w:w="100" w:type="dxa"/>
              <w:right w:w="100" w:type="dxa"/>
            </w:tcMar>
          </w:tcPr>
          <w:p w14:paraId="6CCF1FDE" w14:textId="77777777" w:rsidR="002B18E0" w:rsidRPr="00B85906" w:rsidRDefault="002B18E0" w:rsidP="001F5BDB">
            <w:pPr>
              <w:widowControl w:val="0"/>
              <w:jc w:val="center"/>
              <w:rPr>
                <w:sz w:val="22"/>
                <w:szCs w:val="22"/>
                <w:vertAlign w:val="subscript"/>
              </w:rPr>
            </w:pPr>
            <w:r w:rsidRPr="00B85906">
              <w:rPr>
                <w:sz w:val="22"/>
                <w:szCs w:val="22"/>
              </w:rPr>
              <w:t xml:space="preserve">High </w:t>
            </w:r>
          </w:p>
        </w:tc>
        <w:tc>
          <w:tcPr>
            <w:tcW w:w="872" w:type="dxa"/>
            <w:tcBorders>
              <w:left w:val="single" w:sz="18" w:space="0" w:color="000000"/>
              <w:bottom w:val="single" w:sz="12" w:space="0" w:color="auto"/>
            </w:tcBorders>
            <w:shd w:val="clear" w:color="auto" w:fill="auto"/>
            <w:tcMar>
              <w:top w:w="100" w:type="dxa"/>
              <w:left w:w="100" w:type="dxa"/>
              <w:bottom w:w="100" w:type="dxa"/>
              <w:right w:w="100" w:type="dxa"/>
            </w:tcMar>
          </w:tcPr>
          <w:p w14:paraId="61068B5F" w14:textId="77777777" w:rsidR="002B18E0" w:rsidRPr="00B85906" w:rsidRDefault="002B18E0" w:rsidP="001F5BDB">
            <w:pPr>
              <w:widowControl w:val="0"/>
              <w:jc w:val="center"/>
              <w:rPr>
                <w:sz w:val="22"/>
                <w:szCs w:val="22"/>
                <w:vertAlign w:val="subscript"/>
              </w:rPr>
            </w:pPr>
            <w:proofErr w:type="spellStart"/>
            <w:r w:rsidRPr="00B85906">
              <w:rPr>
                <w:sz w:val="22"/>
                <w:szCs w:val="22"/>
              </w:rPr>
              <w:t>Amb</w:t>
            </w:r>
            <w:proofErr w:type="spellEnd"/>
          </w:p>
        </w:tc>
        <w:tc>
          <w:tcPr>
            <w:tcW w:w="871" w:type="dxa"/>
            <w:tcBorders>
              <w:bottom w:val="single" w:sz="12" w:space="0" w:color="auto"/>
              <w:right w:val="single" w:sz="18" w:space="0" w:color="000000"/>
            </w:tcBorders>
            <w:shd w:val="clear" w:color="auto" w:fill="auto"/>
            <w:tcMar>
              <w:top w:w="100" w:type="dxa"/>
              <w:left w:w="100" w:type="dxa"/>
              <w:bottom w:w="100" w:type="dxa"/>
              <w:right w:w="100" w:type="dxa"/>
            </w:tcMar>
          </w:tcPr>
          <w:p w14:paraId="531DA1F0" w14:textId="77777777" w:rsidR="002B18E0" w:rsidRPr="00B85906" w:rsidRDefault="002B18E0" w:rsidP="001F5BDB">
            <w:pPr>
              <w:widowControl w:val="0"/>
              <w:jc w:val="center"/>
              <w:rPr>
                <w:sz w:val="22"/>
                <w:szCs w:val="22"/>
                <w:vertAlign w:val="subscript"/>
              </w:rPr>
            </w:pPr>
            <w:r w:rsidRPr="00B85906">
              <w:rPr>
                <w:sz w:val="22"/>
                <w:szCs w:val="22"/>
              </w:rPr>
              <w:t xml:space="preserve">High </w:t>
            </w:r>
          </w:p>
        </w:tc>
        <w:tc>
          <w:tcPr>
            <w:tcW w:w="871" w:type="dxa"/>
            <w:tcBorders>
              <w:left w:val="single" w:sz="18" w:space="0" w:color="000000"/>
              <w:bottom w:val="single" w:sz="12" w:space="0" w:color="auto"/>
            </w:tcBorders>
            <w:shd w:val="clear" w:color="auto" w:fill="auto"/>
            <w:tcMar>
              <w:top w:w="100" w:type="dxa"/>
              <w:left w:w="100" w:type="dxa"/>
              <w:bottom w:w="100" w:type="dxa"/>
              <w:right w:w="100" w:type="dxa"/>
            </w:tcMar>
          </w:tcPr>
          <w:p w14:paraId="32DA59A4" w14:textId="77777777" w:rsidR="002B18E0" w:rsidRPr="00B85906" w:rsidRDefault="002B18E0" w:rsidP="001F5BDB">
            <w:pPr>
              <w:widowControl w:val="0"/>
              <w:jc w:val="center"/>
              <w:rPr>
                <w:sz w:val="22"/>
                <w:szCs w:val="22"/>
                <w:vertAlign w:val="subscript"/>
              </w:rPr>
            </w:pPr>
            <w:proofErr w:type="spellStart"/>
            <w:r w:rsidRPr="00B85906">
              <w:rPr>
                <w:sz w:val="22"/>
                <w:szCs w:val="22"/>
              </w:rPr>
              <w:t>Amb</w:t>
            </w:r>
            <w:proofErr w:type="spellEnd"/>
          </w:p>
        </w:tc>
        <w:tc>
          <w:tcPr>
            <w:tcW w:w="871" w:type="dxa"/>
            <w:tcBorders>
              <w:bottom w:val="single" w:sz="12" w:space="0" w:color="auto"/>
              <w:right w:val="single" w:sz="18" w:space="0" w:color="000000"/>
            </w:tcBorders>
            <w:shd w:val="clear" w:color="auto" w:fill="auto"/>
            <w:tcMar>
              <w:top w:w="100" w:type="dxa"/>
              <w:left w:w="100" w:type="dxa"/>
              <w:bottom w:w="100" w:type="dxa"/>
              <w:right w:w="100" w:type="dxa"/>
            </w:tcMar>
          </w:tcPr>
          <w:p w14:paraId="7DADC02A" w14:textId="77777777" w:rsidR="002B18E0" w:rsidRPr="00B85906" w:rsidRDefault="002B18E0" w:rsidP="001F5BDB">
            <w:pPr>
              <w:widowControl w:val="0"/>
              <w:jc w:val="center"/>
              <w:rPr>
                <w:sz w:val="22"/>
                <w:szCs w:val="22"/>
                <w:vertAlign w:val="subscript"/>
              </w:rPr>
            </w:pPr>
            <w:r w:rsidRPr="00B85906">
              <w:rPr>
                <w:sz w:val="22"/>
                <w:szCs w:val="22"/>
              </w:rPr>
              <w:t xml:space="preserve">High </w:t>
            </w:r>
          </w:p>
        </w:tc>
        <w:tc>
          <w:tcPr>
            <w:tcW w:w="871" w:type="dxa"/>
            <w:tcBorders>
              <w:left w:val="single" w:sz="18" w:space="0" w:color="000000"/>
              <w:bottom w:val="single" w:sz="12" w:space="0" w:color="auto"/>
            </w:tcBorders>
            <w:shd w:val="clear" w:color="auto" w:fill="auto"/>
            <w:tcMar>
              <w:top w:w="100" w:type="dxa"/>
              <w:left w:w="100" w:type="dxa"/>
              <w:bottom w:w="100" w:type="dxa"/>
              <w:right w:w="100" w:type="dxa"/>
            </w:tcMar>
          </w:tcPr>
          <w:p w14:paraId="0DB2186D" w14:textId="77777777" w:rsidR="002B18E0" w:rsidRPr="00B85906" w:rsidRDefault="002B18E0" w:rsidP="001F5BDB">
            <w:pPr>
              <w:widowControl w:val="0"/>
              <w:jc w:val="center"/>
              <w:rPr>
                <w:sz w:val="22"/>
                <w:szCs w:val="22"/>
                <w:vertAlign w:val="subscript"/>
              </w:rPr>
            </w:pPr>
            <w:proofErr w:type="spellStart"/>
            <w:r w:rsidRPr="00B85906">
              <w:rPr>
                <w:sz w:val="22"/>
                <w:szCs w:val="22"/>
              </w:rPr>
              <w:t>Amb</w:t>
            </w:r>
            <w:proofErr w:type="spellEnd"/>
          </w:p>
        </w:tc>
        <w:tc>
          <w:tcPr>
            <w:tcW w:w="871" w:type="dxa"/>
            <w:tcBorders>
              <w:bottom w:val="single" w:sz="12" w:space="0" w:color="auto"/>
              <w:right w:val="single" w:sz="18" w:space="0" w:color="000000"/>
            </w:tcBorders>
            <w:shd w:val="clear" w:color="auto" w:fill="auto"/>
            <w:tcMar>
              <w:top w:w="100" w:type="dxa"/>
              <w:left w:w="100" w:type="dxa"/>
              <w:bottom w:w="100" w:type="dxa"/>
              <w:right w:w="100" w:type="dxa"/>
            </w:tcMar>
          </w:tcPr>
          <w:p w14:paraId="045FC92B" w14:textId="77777777" w:rsidR="002B18E0" w:rsidRPr="00B85906" w:rsidRDefault="002B18E0" w:rsidP="001F5BDB">
            <w:pPr>
              <w:widowControl w:val="0"/>
              <w:jc w:val="center"/>
              <w:rPr>
                <w:sz w:val="22"/>
                <w:szCs w:val="22"/>
                <w:vertAlign w:val="subscript"/>
              </w:rPr>
            </w:pPr>
            <w:r w:rsidRPr="00B85906">
              <w:rPr>
                <w:sz w:val="22"/>
                <w:szCs w:val="22"/>
              </w:rPr>
              <w:t xml:space="preserve">High </w:t>
            </w:r>
          </w:p>
        </w:tc>
        <w:tc>
          <w:tcPr>
            <w:tcW w:w="871" w:type="dxa"/>
            <w:tcBorders>
              <w:left w:val="single" w:sz="18" w:space="0" w:color="000000"/>
              <w:bottom w:val="single" w:sz="12" w:space="0" w:color="auto"/>
            </w:tcBorders>
            <w:shd w:val="clear" w:color="auto" w:fill="auto"/>
            <w:tcMar>
              <w:top w:w="100" w:type="dxa"/>
              <w:left w:w="100" w:type="dxa"/>
              <w:bottom w:w="100" w:type="dxa"/>
              <w:right w:w="100" w:type="dxa"/>
            </w:tcMar>
          </w:tcPr>
          <w:p w14:paraId="69B5399B" w14:textId="77777777" w:rsidR="002B18E0" w:rsidRPr="00B85906" w:rsidRDefault="002B18E0" w:rsidP="001F5BDB">
            <w:pPr>
              <w:widowControl w:val="0"/>
              <w:jc w:val="center"/>
              <w:rPr>
                <w:sz w:val="22"/>
                <w:szCs w:val="22"/>
                <w:vertAlign w:val="subscript"/>
              </w:rPr>
            </w:pPr>
            <w:proofErr w:type="spellStart"/>
            <w:r w:rsidRPr="00B85906">
              <w:rPr>
                <w:sz w:val="22"/>
                <w:szCs w:val="22"/>
              </w:rPr>
              <w:t>Amb</w:t>
            </w:r>
            <w:proofErr w:type="spellEnd"/>
          </w:p>
        </w:tc>
        <w:tc>
          <w:tcPr>
            <w:tcW w:w="871" w:type="dxa"/>
            <w:tcBorders>
              <w:bottom w:val="single" w:sz="12" w:space="0" w:color="auto"/>
              <w:right w:val="single" w:sz="18" w:space="0" w:color="000000"/>
            </w:tcBorders>
            <w:shd w:val="clear" w:color="auto" w:fill="auto"/>
            <w:tcMar>
              <w:top w:w="100" w:type="dxa"/>
              <w:left w:w="100" w:type="dxa"/>
              <w:bottom w:w="100" w:type="dxa"/>
              <w:right w:w="100" w:type="dxa"/>
            </w:tcMar>
          </w:tcPr>
          <w:p w14:paraId="686FD7FB" w14:textId="77777777" w:rsidR="002B18E0" w:rsidRPr="00B85906" w:rsidRDefault="002B18E0" w:rsidP="001F5BDB">
            <w:pPr>
              <w:widowControl w:val="0"/>
              <w:jc w:val="center"/>
              <w:rPr>
                <w:sz w:val="22"/>
                <w:szCs w:val="22"/>
                <w:vertAlign w:val="subscript"/>
              </w:rPr>
            </w:pPr>
            <w:r w:rsidRPr="00B85906">
              <w:rPr>
                <w:sz w:val="22"/>
                <w:szCs w:val="22"/>
              </w:rPr>
              <w:t xml:space="preserve">High </w:t>
            </w:r>
          </w:p>
        </w:tc>
      </w:tr>
      <w:tr w:rsidR="00E32335" w14:paraId="18EB1AD3" w14:textId="77777777" w:rsidTr="00457E21">
        <w:trPr>
          <w:trHeight w:val="380"/>
        </w:trPr>
        <w:tc>
          <w:tcPr>
            <w:tcW w:w="1126" w:type="dxa"/>
            <w:tcBorders>
              <w:top w:val="single" w:sz="8" w:space="0" w:color="000000"/>
              <w:left w:val="single" w:sz="8" w:space="0" w:color="000000"/>
              <w:bottom w:val="single" w:sz="8" w:space="0" w:color="000000"/>
              <w:right w:val="single" w:sz="18" w:space="0" w:color="000000"/>
            </w:tcBorders>
            <w:shd w:val="clear" w:color="auto" w:fill="auto"/>
            <w:tcMar>
              <w:top w:w="100" w:type="dxa"/>
              <w:left w:w="100" w:type="dxa"/>
              <w:bottom w:w="100" w:type="dxa"/>
              <w:right w:w="100" w:type="dxa"/>
            </w:tcMar>
          </w:tcPr>
          <w:p w14:paraId="52D57F06" w14:textId="77777777" w:rsidR="002B18E0" w:rsidRPr="00B85906" w:rsidRDefault="002B18E0" w:rsidP="001F5BDB">
            <w:pPr>
              <w:widowControl w:val="0"/>
              <w:jc w:val="center"/>
              <w:rPr>
                <w:sz w:val="20"/>
                <w:szCs w:val="20"/>
              </w:rPr>
            </w:pPr>
            <w:proofErr w:type="spellStart"/>
            <w:r w:rsidRPr="00B85906">
              <w:rPr>
                <w:sz w:val="20"/>
                <w:szCs w:val="20"/>
              </w:rPr>
              <w:t>Fidalgo</w:t>
            </w:r>
            <w:proofErr w:type="spellEnd"/>
          </w:p>
        </w:tc>
        <w:tc>
          <w:tcPr>
            <w:tcW w:w="872"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6376E5F0" w14:textId="02FD67C1" w:rsidR="002B18E0" w:rsidRPr="0023079D" w:rsidRDefault="00A078F8" w:rsidP="001F5BDB">
            <w:pPr>
              <w:widowControl w:val="0"/>
              <w:jc w:val="center"/>
              <w:rPr>
                <w:b/>
              </w:rPr>
            </w:pPr>
            <w:r w:rsidRPr="0023079D">
              <w:rPr>
                <w:b/>
              </w:rPr>
              <w:t>*</w:t>
            </w:r>
            <w:r w:rsidR="002B18E0" w:rsidRPr="0023079D">
              <w:rPr>
                <w:b/>
              </w:rPr>
              <w:t>20</w:t>
            </w:r>
          </w:p>
          <w:p w14:paraId="63602371" w14:textId="77777777" w:rsidR="002B18E0" w:rsidRPr="0023079D" w:rsidRDefault="002B18E0" w:rsidP="001F5BDB">
            <w:pPr>
              <w:widowControl w:val="0"/>
              <w:jc w:val="center"/>
              <w:rPr>
                <w:b/>
              </w:rPr>
            </w:pPr>
            <w:r w:rsidRPr="0023079D">
              <w:rPr>
                <w:b/>
              </w:rPr>
              <w:t>±32%</w:t>
            </w:r>
          </w:p>
        </w:tc>
        <w:tc>
          <w:tcPr>
            <w:tcW w:w="872"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7A3C9E88" w14:textId="5B1E1BA0" w:rsidR="002B18E0" w:rsidRPr="0023079D" w:rsidRDefault="00A078F8" w:rsidP="001F5BDB">
            <w:pPr>
              <w:widowControl w:val="0"/>
              <w:jc w:val="center"/>
              <w:rPr>
                <w:b/>
              </w:rPr>
            </w:pPr>
            <w:r w:rsidRPr="0023079D">
              <w:rPr>
                <w:b/>
              </w:rPr>
              <w:t>*</w:t>
            </w:r>
            <w:r w:rsidR="002B18E0" w:rsidRPr="0023079D">
              <w:rPr>
                <w:b/>
              </w:rPr>
              <w:t>85</w:t>
            </w:r>
          </w:p>
          <w:p w14:paraId="029ACA9C" w14:textId="77777777" w:rsidR="002B18E0" w:rsidRPr="0023079D" w:rsidRDefault="002B18E0" w:rsidP="001F5BDB">
            <w:pPr>
              <w:widowControl w:val="0"/>
              <w:jc w:val="center"/>
              <w:rPr>
                <w:b/>
              </w:rPr>
            </w:pPr>
            <w:r w:rsidRPr="0023079D">
              <w:rPr>
                <w:b/>
              </w:rPr>
              <w:t>±10%</w:t>
            </w:r>
          </w:p>
        </w:tc>
        <w:tc>
          <w:tcPr>
            <w:tcW w:w="872"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075B7840" w14:textId="77777777" w:rsidR="002B18E0" w:rsidRPr="00E32335" w:rsidRDefault="002B18E0" w:rsidP="001F5BDB">
            <w:pPr>
              <w:widowControl w:val="0"/>
              <w:jc w:val="center"/>
            </w:pPr>
            <w:r w:rsidRPr="00E32335">
              <w:t>22</w:t>
            </w:r>
          </w:p>
          <w:p w14:paraId="5B20DDDB" w14:textId="77777777" w:rsidR="002B18E0" w:rsidRPr="00E32335" w:rsidRDefault="002B18E0" w:rsidP="001F5BDB">
            <w:pPr>
              <w:widowControl w:val="0"/>
              <w:jc w:val="center"/>
            </w:pPr>
            <w:r w:rsidRPr="00E32335">
              <w:t>±12%</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16EC0AA5" w14:textId="77777777" w:rsidR="002B18E0" w:rsidRPr="00E32335" w:rsidRDefault="002B18E0" w:rsidP="001F5BDB">
            <w:pPr>
              <w:widowControl w:val="0"/>
              <w:jc w:val="center"/>
            </w:pPr>
            <w:r w:rsidRPr="00E32335">
              <w:t>38</w:t>
            </w:r>
          </w:p>
          <w:p w14:paraId="78611C4D" w14:textId="77777777" w:rsidR="002B18E0" w:rsidRPr="00E32335" w:rsidRDefault="002B18E0" w:rsidP="001F5BDB">
            <w:pPr>
              <w:widowControl w:val="0"/>
              <w:jc w:val="center"/>
            </w:pPr>
            <w:r w:rsidRPr="00E32335">
              <w:t>±25%</w:t>
            </w:r>
          </w:p>
        </w:tc>
        <w:tc>
          <w:tcPr>
            <w:tcW w:w="871"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4087B74D" w14:textId="77777777" w:rsidR="002B18E0" w:rsidRPr="00E32335" w:rsidRDefault="002B18E0" w:rsidP="001F5BDB">
            <w:pPr>
              <w:widowControl w:val="0"/>
              <w:jc w:val="center"/>
            </w:pPr>
            <w:r w:rsidRPr="00E32335">
              <w:t>40</w:t>
            </w:r>
          </w:p>
          <w:p w14:paraId="318FCC3B" w14:textId="77777777" w:rsidR="002B18E0" w:rsidRPr="00E32335" w:rsidRDefault="002B18E0" w:rsidP="001F5BDB">
            <w:pPr>
              <w:widowControl w:val="0"/>
              <w:jc w:val="center"/>
            </w:pPr>
            <w:r w:rsidRPr="00E32335">
              <w:t>±46%</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749AC34E" w14:textId="77777777" w:rsidR="002B18E0" w:rsidRPr="00E32335" w:rsidRDefault="002B18E0" w:rsidP="001F5BDB">
            <w:pPr>
              <w:widowControl w:val="0"/>
              <w:jc w:val="center"/>
            </w:pPr>
            <w:r w:rsidRPr="00E32335">
              <w:t>62</w:t>
            </w:r>
          </w:p>
          <w:p w14:paraId="7043794D" w14:textId="77777777" w:rsidR="002B18E0" w:rsidRPr="00E32335" w:rsidRDefault="002B18E0" w:rsidP="001F5BDB">
            <w:pPr>
              <w:widowControl w:val="0"/>
              <w:jc w:val="center"/>
            </w:pPr>
            <w:r w:rsidRPr="00E32335">
              <w:t>±43%</w:t>
            </w:r>
          </w:p>
        </w:tc>
        <w:tc>
          <w:tcPr>
            <w:tcW w:w="871"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67916373" w14:textId="77777777" w:rsidR="002B18E0" w:rsidRPr="00E32335" w:rsidRDefault="002B18E0" w:rsidP="001F5BDB">
            <w:pPr>
              <w:widowControl w:val="0"/>
              <w:jc w:val="center"/>
            </w:pPr>
            <w:r w:rsidRPr="00E32335">
              <w:t>11</w:t>
            </w:r>
          </w:p>
          <w:p w14:paraId="4FA122F2" w14:textId="77777777" w:rsidR="002B18E0" w:rsidRPr="00E32335" w:rsidRDefault="002B18E0" w:rsidP="001F5BDB">
            <w:pPr>
              <w:widowControl w:val="0"/>
              <w:jc w:val="center"/>
            </w:pPr>
            <w:r w:rsidRPr="00E32335">
              <w:t>±15%</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73C67487" w14:textId="77777777" w:rsidR="002B18E0" w:rsidRPr="00E32335" w:rsidRDefault="002B18E0" w:rsidP="001F5BDB">
            <w:pPr>
              <w:widowControl w:val="0"/>
              <w:jc w:val="center"/>
            </w:pPr>
            <w:r w:rsidRPr="00E32335">
              <w:t>13</w:t>
            </w:r>
          </w:p>
          <w:p w14:paraId="1F715E59" w14:textId="77777777" w:rsidR="002B18E0" w:rsidRPr="00E32335" w:rsidRDefault="002B18E0" w:rsidP="001F5BDB">
            <w:pPr>
              <w:widowControl w:val="0"/>
              <w:jc w:val="center"/>
            </w:pPr>
            <w:r w:rsidRPr="00E32335">
              <w:t>±23%</w:t>
            </w:r>
          </w:p>
        </w:tc>
        <w:tc>
          <w:tcPr>
            <w:tcW w:w="871"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5B3D472F" w14:textId="1730EB62" w:rsidR="002B18E0" w:rsidRPr="0023079D" w:rsidRDefault="00B83A35" w:rsidP="001F5BDB">
            <w:pPr>
              <w:widowControl w:val="0"/>
              <w:jc w:val="center"/>
              <w:rPr>
                <w:b/>
              </w:rPr>
            </w:pPr>
            <w:r w:rsidRPr="00392E67">
              <w:rPr>
                <w:b/>
                <w:vertAlign w:val="superscript"/>
              </w:rPr>
              <w:t>+</w:t>
            </w:r>
            <w:r w:rsidR="002B18E0" w:rsidRPr="0023079D">
              <w:rPr>
                <w:b/>
              </w:rPr>
              <w:t>25</w:t>
            </w:r>
          </w:p>
          <w:p w14:paraId="58E0C185" w14:textId="77777777" w:rsidR="002B18E0" w:rsidRPr="0023079D" w:rsidRDefault="002B18E0" w:rsidP="001F5BDB">
            <w:pPr>
              <w:widowControl w:val="0"/>
              <w:jc w:val="center"/>
              <w:rPr>
                <w:b/>
              </w:rPr>
            </w:pPr>
            <w:r w:rsidRPr="0023079D">
              <w:rPr>
                <w:b/>
              </w:rPr>
              <w:t>±30%</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416CF74A" w14:textId="6953C730" w:rsidR="002B18E0" w:rsidRPr="0023079D" w:rsidRDefault="00B83A35" w:rsidP="001F5BDB">
            <w:pPr>
              <w:widowControl w:val="0"/>
              <w:jc w:val="center"/>
              <w:rPr>
                <w:b/>
              </w:rPr>
            </w:pPr>
            <w:r w:rsidRPr="00B83A35">
              <w:rPr>
                <w:b/>
                <w:vertAlign w:val="superscript"/>
              </w:rPr>
              <w:t>+</w:t>
            </w:r>
            <w:r w:rsidR="002B18E0" w:rsidRPr="0023079D">
              <w:rPr>
                <w:b/>
              </w:rPr>
              <w:t>51</w:t>
            </w:r>
          </w:p>
          <w:p w14:paraId="0C57A1E9" w14:textId="77777777" w:rsidR="002B18E0" w:rsidRPr="0023079D" w:rsidRDefault="002B18E0" w:rsidP="001F5BDB">
            <w:pPr>
              <w:widowControl w:val="0"/>
              <w:jc w:val="center"/>
              <w:rPr>
                <w:b/>
              </w:rPr>
            </w:pPr>
            <w:r w:rsidRPr="0023079D">
              <w:rPr>
                <w:b/>
              </w:rPr>
              <w:t>±37%</w:t>
            </w:r>
          </w:p>
        </w:tc>
      </w:tr>
      <w:tr w:rsidR="00A078F8" w14:paraId="2837BED9" w14:textId="77777777" w:rsidTr="00457E21">
        <w:trPr>
          <w:trHeight w:val="380"/>
        </w:trPr>
        <w:tc>
          <w:tcPr>
            <w:tcW w:w="1126" w:type="dxa"/>
            <w:tcBorders>
              <w:top w:val="single" w:sz="8" w:space="0" w:color="000000"/>
              <w:left w:val="single" w:sz="8" w:space="0" w:color="000000"/>
              <w:bottom w:val="single" w:sz="8" w:space="0" w:color="000000"/>
              <w:right w:val="single" w:sz="18" w:space="0" w:color="000000"/>
            </w:tcBorders>
            <w:shd w:val="clear" w:color="auto" w:fill="auto"/>
            <w:tcMar>
              <w:top w:w="100" w:type="dxa"/>
              <w:left w:w="100" w:type="dxa"/>
              <w:bottom w:w="100" w:type="dxa"/>
              <w:right w:w="100" w:type="dxa"/>
            </w:tcMar>
          </w:tcPr>
          <w:p w14:paraId="0E70C674" w14:textId="77777777" w:rsidR="002B18E0" w:rsidRPr="00B85906" w:rsidRDefault="002B18E0" w:rsidP="001F5BDB">
            <w:pPr>
              <w:widowControl w:val="0"/>
              <w:jc w:val="center"/>
              <w:rPr>
                <w:sz w:val="20"/>
                <w:szCs w:val="20"/>
              </w:rPr>
            </w:pPr>
            <w:r w:rsidRPr="00B85906">
              <w:rPr>
                <w:sz w:val="20"/>
                <w:szCs w:val="20"/>
              </w:rPr>
              <w:t>Port Gamble</w:t>
            </w:r>
          </w:p>
        </w:tc>
        <w:tc>
          <w:tcPr>
            <w:tcW w:w="872"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177A13A7" w14:textId="2D16B6BF" w:rsidR="002B18E0" w:rsidRPr="0023079D" w:rsidRDefault="00A078F8" w:rsidP="001F5BDB">
            <w:pPr>
              <w:widowControl w:val="0"/>
              <w:jc w:val="center"/>
              <w:rPr>
                <w:b/>
              </w:rPr>
            </w:pPr>
            <w:r w:rsidRPr="0023079D">
              <w:rPr>
                <w:b/>
              </w:rPr>
              <w:t>*</w:t>
            </w:r>
            <w:r w:rsidR="002B18E0" w:rsidRPr="0023079D">
              <w:rPr>
                <w:b/>
              </w:rPr>
              <w:t>33</w:t>
            </w:r>
          </w:p>
          <w:p w14:paraId="4150BA65" w14:textId="77777777" w:rsidR="002B18E0" w:rsidRPr="0023079D" w:rsidRDefault="002B18E0" w:rsidP="001F5BDB">
            <w:pPr>
              <w:widowControl w:val="0"/>
              <w:jc w:val="center"/>
              <w:rPr>
                <w:b/>
              </w:rPr>
            </w:pPr>
            <w:r w:rsidRPr="0023079D">
              <w:rPr>
                <w:b/>
              </w:rPr>
              <w:t>±27%</w:t>
            </w:r>
          </w:p>
        </w:tc>
        <w:tc>
          <w:tcPr>
            <w:tcW w:w="872"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510B8E88" w14:textId="5B6D8D42" w:rsidR="002B18E0" w:rsidRPr="0023079D" w:rsidRDefault="00A078F8" w:rsidP="001F5BDB">
            <w:pPr>
              <w:widowControl w:val="0"/>
              <w:jc w:val="center"/>
              <w:rPr>
                <w:b/>
              </w:rPr>
            </w:pPr>
            <w:r w:rsidRPr="0023079D">
              <w:rPr>
                <w:b/>
              </w:rPr>
              <w:t>*</w:t>
            </w:r>
            <w:r w:rsidR="002B18E0" w:rsidRPr="0023079D">
              <w:rPr>
                <w:b/>
              </w:rPr>
              <w:t>74</w:t>
            </w:r>
          </w:p>
          <w:p w14:paraId="4367C914" w14:textId="77777777" w:rsidR="002B18E0" w:rsidRPr="0023079D" w:rsidRDefault="002B18E0" w:rsidP="001F5BDB">
            <w:pPr>
              <w:widowControl w:val="0"/>
              <w:jc w:val="center"/>
              <w:rPr>
                <w:b/>
              </w:rPr>
            </w:pPr>
            <w:r w:rsidRPr="0023079D">
              <w:rPr>
                <w:b/>
              </w:rPr>
              <w:t>±17%</w:t>
            </w:r>
          </w:p>
        </w:tc>
        <w:tc>
          <w:tcPr>
            <w:tcW w:w="872"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7237A6A0" w14:textId="77777777" w:rsidR="00835B75" w:rsidRPr="00E32335" w:rsidRDefault="002B18E0" w:rsidP="001F5BDB">
            <w:pPr>
              <w:widowControl w:val="0"/>
              <w:jc w:val="center"/>
            </w:pPr>
            <w:r w:rsidRPr="00E32335">
              <w:t>35±</w:t>
            </w:r>
          </w:p>
          <w:p w14:paraId="7F99DDA7" w14:textId="55F34F57" w:rsidR="002B18E0" w:rsidRPr="00E32335" w:rsidRDefault="002B18E0" w:rsidP="001F5BDB">
            <w:pPr>
              <w:widowControl w:val="0"/>
              <w:jc w:val="center"/>
            </w:pPr>
            <w:r w:rsidRPr="00E32335">
              <w:t>35%</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4CD94442" w14:textId="77777777" w:rsidR="002B18E0" w:rsidRPr="00E32335" w:rsidRDefault="002B18E0" w:rsidP="001F5BDB">
            <w:pPr>
              <w:widowControl w:val="0"/>
              <w:jc w:val="center"/>
            </w:pPr>
            <w:r w:rsidRPr="00E32335">
              <w:t>63</w:t>
            </w:r>
          </w:p>
          <w:p w14:paraId="461C63BB" w14:textId="77777777" w:rsidR="002B18E0" w:rsidRPr="00E32335" w:rsidRDefault="002B18E0" w:rsidP="001F5BDB">
            <w:pPr>
              <w:widowControl w:val="0"/>
              <w:jc w:val="center"/>
            </w:pPr>
            <w:r w:rsidRPr="00E32335">
              <w:t>±21%</w:t>
            </w:r>
          </w:p>
        </w:tc>
        <w:tc>
          <w:tcPr>
            <w:tcW w:w="871"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4A2AC8E9" w14:textId="77777777" w:rsidR="002B18E0" w:rsidRPr="00E32335" w:rsidRDefault="002B18E0" w:rsidP="001F5BDB">
            <w:pPr>
              <w:widowControl w:val="0"/>
              <w:jc w:val="center"/>
            </w:pPr>
            <w:r w:rsidRPr="00E32335">
              <w:t>40</w:t>
            </w:r>
          </w:p>
          <w:p w14:paraId="666A7386" w14:textId="77777777" w:rsidR="002B18E0" w:rsidRPr="00E32335" w:rsidRDefault="002B18E0" w:rsidP="001F5BDB">
            <w:pPr>
              <w:widowControl w:val="0"/>
              <w:jc w:val="center"/>
            </w:pPr>
            <w:r w:rsidRPr="00E32335">
              <w:t>±47%</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1CDED691" w14:textId="77777777" w:rsidR="002B18E0" w:rsidRPr="00E32335" w:rsidRDefault="002B18E0" w:rsidP="001F5BDB">
            <w:pPr>
              <w:widowControl w:val="0"/>
              <w:jc w:val="center"/>
            </w:pPr>
            <w:r w:rsidRPr="00E32335">
              <w:t>93</w:t>
            </w:r>
          </w:p>
          <w:p w14:paraId="2BDA27F5" w14:textId="77777777" w:rsidR="002B18E0" w:rsidRPr="00E32335" w:rsidRDefault="002B18E0" w:rsidP="001F5BDB">
            <w:pPr>
              <w:widowControl w:val="0"/>
              <w:jc w:val="center"/>
            </w:pPr>
            <w:r w:rsidRPr="00E32335">
              <w:t>±12%</w:t>
            </w:r>
          </w:p>
        </w:tc>
        <w:tc>
          <w:tcPr>
            <w:tcW w:w="871"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6B3BAD14" w14:textId="77777777" w:rsidR="002B18E0" w:rsidRPr="00E32335" w:rsidRDefault="002B18E0" w:rsidP="001F5BDB">
            <w:pPr>
              <w:widowControl w:val="0"/>
              <w:jc w:val="center"/>
            </w:pPr>
            <w:r w:rsidRPr="00E32335">
              <w:t>21</w:t>
            </w:r>
          </w:p>
          <w:p w14:paraId="6B6BD89E" w14:textId="77777777" w:rsidR="002B18E0" w:rsidRPr="00E32335" w:rsidRDefault="002B18E0" w:rsidP="001F5BDB">
            <w:pPr>
              <w:widowControl w:val="0"/>
              <w:jc w:val="center"/>
            </w:pPr>
            <w:r w:rsidRPr="00E32335">
              <w:t>±0%</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23620515" w14:textId="77777777" w:rsidR="002B18E0" w:rsidRPr="00E32335" w:rsidRDefault="002B18E0" w:rsidP="001F5BDB">
            <w:pPr>
              <w:widowControl w:val="0"/>
              <w:jc w:val="center"/>
            </w:pPr>
            <w:r w:rsidRPr="00E32335">
              <w:t>0%</w:t>
            </w:r>
          </w:p>
        </w:tc>
        <w:tc>
          <w:tcPr>
            <w:tcW w:w="871"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0269CED3" w14:textId="729F3D59" w:rsidR="002B18E0" w:rsidRPr="0023079D" w:rsidRDefault="00B83A35" w:rsidP="001F5BDB">
            <w:pPr>
              <w:widowControl w:val="0"/>
              <w:jc w:val="center"/>
              <w:rPr>
                <w:b/>
              </w:rPr>
            </w:pPr>
            <w:r w:rsidRPr="00B83A35">
              <w:rPr>
                <w:b/>
                <w:vertAlign w:val="superscript"/>
              </w:rPr>
              <w:t>+</w:t>
            </w:r>
            <w:r w:rsidR="002B18E0" w:rsidRPr="0023079D">
              <w:rPr>
                <w:b/>
              </w:rPr>
              <w:t>34</w:t>
            </w:r>
          </w:p>
          <w:p w14:paraId="3030201D" w14:textId="77777777" w:rsidR="002B18E0" w:rsidRPr="0023079D" w:rsidRDefault="002B18E0" w:rsidP="001F5BDB">
            <w:pPr>
              <w:widowControl w:val="0"/>
              <w:jc w:val="center"/>
              <w:rPr>
                <w:b/>
              </w:rPr>
            </w:pPr>
            <w:r w:rsidRPr="0023079D">
              <w:rPr>
                <w:b/>
              </w:rPr>
              <w:t>±33%</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414CB980" w14:textId="6C55F5A8" w:rsidR="002B18E0" w:rsidRPr="0023079D" w:rsidRDefault="00B83A35" w:rsidP="001F5BDB">
            <w:pPr>
              <w:widowControl w:val="0"/>
              <w:jc w:val="center"/>
              <w:rPr>
                <w:b/>
              </w:rPr>
            </w:pPr>
            <w:r w:rsidRPr="00B83A35">
              <w:rPr>
                <w:b/>
                <w:vertAlign w:val="superscript"/>
              </w:rPr>
              <w:t>+</w:t>
            </w:r>
            <w:r w:rsidR="002B18E0" w:rsidRPr="0023079D">
              <w:rPr>
                <w:b/>
              </w:rPr>
              <w:t>64</w:t>
            </w:r>
          </w:p>
          <w:p w14:paraId="3775407D" w14:textId="77777777" w:rsidR="002B18E0" w:rsidRPr="0023079D" w:rsidRDefault="002B18E0" w:rsidP="001F5BDB">
            <w:pPr>
              <w:widowControl w:val="0"/>
              <w:jc w:val="center"/>
              <w:rPr>
                <w:b/>
              </w:rPr>
            </w:pPr>
            <w:r w:rsidRPr="0023079D">
              <w:rPr>
                <w:b/>
              </w:rPr>
              <w:t>±34%</w:t>
            </w:r>
          </w:p>
        </w:tc>
      </w:tr>
      <w:tr w:rsidR="00E32335" w14:paraId="2AE1ED16" w14:textId="77777777" w:rsidTr="00457E21">
        <w:trPr>
          <w:trHeight w:val="380"/>
        </w:trPr>
        <w:tc>
          <w:tcPr>
            <w:tcW w:w="1126" w:type="dxa"/>
            <w:tcBorders>
              <w:top w:val="single" w:sz="8" w:space="0" w:color="000000"/>
              <w:left w:val="single" w:sz="8" w:space="0" w:color="000000"/>
              <w:bottom w:val="single" w:sz="8" w:space="0" w:color="000000"/>
              <w:right w:val="single" w:sz="18" w:space="0" w:color="000000"/>
            </w:tcBorders>
            <w:shd w:val="clear" w:color="auto" w:fill="auto"/>
            <w:tcMar>
              <w:top w:w="100" w:type="dxa"/>
              <w:left w:w="100" w:type="dxa"/>
              <w:bottom w:w="100" w:type="dxa"/>
              <w:right w:w="100" w:type="dxa"/>
            </w:tcMar>
          </w:tcPr>
          <w:p w14:paraId="7DA15096" w14:textId="77777777" w:rsidR="002B18E0" w:rsidRPr="00B85906" w:rsidRDefault="002B18E0" w:rsidP="001F5BDB">
            <w:pPr>
              <w:widowControl w:val="0"/>
              <w:jc w:val="center"/>
              <w:rPr>
                <w:sz w:val="20"/>
                <w:szCs w:val="20"/>
              </w:rPr>
            </w:pPr>
            <w:r w:rsidRPr="00B85906">
              <w:rPr>
                <w:sz w:val="20"/>
                <w:szCs w:val="20"/>
              </w:rPr>
              <w:t>Skokomish</w:t>
            </w:r>
          </w:p>
        </w:tc>
        <w:tc>
          <w:tcPr>
            <w:tcW w:w="872"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309D8ED1" w14:textId="77777777" w:rsidR="002B18E0" w:rsidRPr="00E32335" w:rsidRDefault="002B18E0" w:rsidP="001F5BDB">
            <w:pPr>
              <w:widowControl w:val="0"/>
              <w:jc w:val="center"/>
            </w:pPr>
            <w:r w:rsidRPr="00E32335">
              <w:t>32</w:t>
            </w:r>
          </w:p>
          <w:p w14:paraId="277CB960" w14:textId="77777777" w:rsidR="002B18E0" w:rsidRPr="00E32335" w:rsidRDefault="002B18E0" w:rsidP="001F5BDB">
            <w:pPr>
              <w:widowControl w:val="0"/>
              <w:jc w:val="center"/>
            </w:pPr>
            <w:r w:rsidRPr="00E32335">
              <w:t>±17%</w:t>
            </w:r>
          </w:p>
        </w:tc>
        <w:tc>
          <w:tcPr>
            <w:tcW w:w="872"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76E05C5B" w14:textId="77777777" w:rsidR="002B18E0" w:rsidRPr="00E32335" w:rsidRDefault="002B18E0" w:rsidP="001F5BDB">
            <w:pPr>
              <w:widowControl w:val="0"/>
              <w:jc w:val="center"/>
            </w:pPr>
            <w:r w:rsidRPr="00E32335">
              <w:t>51</w:t>
            </w:r>
          </w:p>
          <w:p w14:paraId="18441003" w14:textId="77777777" w:rsidR="002B18E0" w:rsidRPr="00E32335" w:rsidRDefault="002B18E0" w:rsidP="001F5BDB">
            <w:pPr>
              <w:widowControl w:val="0"/>
              <w:jc w:val="center"/>
            </w:pPr>
            <w:r w:rsidRPr="00E32335">
              <w:t>±23%</w:t>
            </w:r>
          </w:p>
        </w:tc>
        <w:tc>
          <w:tcPr>
            <w:tcW w:w="872"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06270DCC" w14:textId="77777777" w:rsidR="002B18E0" w:rsidRPr="00E32335" w:rsidRDefault="002B18E0" w:rsidP="001F5BDB">
            <w:pPr>
              <w:widowControl w:val="0"/>
              <w:jc w:val="center"/>
            </w:pPr>
            <w:r w:rsidRPr="00E32335">
              <w:t>45</w:t>
            </w:r>
          </w:p>
          <w:p w14:paraId="23490242" w14:textId="77777777" w:rsidR="002B18E0" w:rsidRPr="00E32335" w:rsidRDefault="002B18E0" w:rsidP="001F5BDB">
            <w:pPr>
              <w:widowControl w:val="0"/>
              <w:jc w:val="center"/>
            </w:pPr>
            <w:r w:rsidRPr="00E32335">
              <w:t>±11%</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42E86BD4" w14:textId="77777777" w:rsidR="002B18E0" w:rsidRPr="00E32335" w:rsidRDefault="002B18E0" w:rsidP="001F5BDB">
            <w:pPr>
              <w:widowControl w:val="0"/>
              <w:jc w:val="center"/>
            </w:pPr>
            <w:r w:rsidRPr="00E32335">
              <w:t>18</w:t>
            </w:r>
          </w:p>
          <w:p w14:paraId="697D734A" w14:textId="77777777" w:rsidR="002B18E0" w:rsidRPr="00E32335" w:rsidRDefault="002B18E0" w:rsidP="001F5BDB">
            <w:pPr>
              <w:widowControl w:val="0"/>
              <w:jc w:val="center"/>
            </w:pPr>
            <w:r w:rsidRPr="00E32335">
              <w:t>±13%</w:t>
            </w:r>
          </w:p>
        </w:tc>
        <w:tc>
          <w:tcPr>
            <w:tcW w:w="871"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0CBCBE78" w14:textId="77777777" w:rsidR="002B18E0" w:rsidRPr="00E32335" w:rsidRDefault="002B18E0" w:rsidP="001F5BDB">
            <w:pPr>
              <w:widowControl w:val="0"/>
              <w:jc w:val="center"/>
            </w:pPr>
            <w:r w:rsidRPr="00E32335">
              <w:t>20</w:t>
            </w:r>
          </w:p>
          <w:p w14:paraId="3FE3BA3D" w14:textId="77777777" w:rsidR="002B18E0" w:rsidRPr="00E32335" w:rsidRDefault="002B18E0" w:rsidP="001F5BDB">
            <w:pPr>
              <w:widowControl w:val="0"/>
              <w:jc w:val="center"/>
            </w:pPr>
            <w:r w:rsidRPr="00E32335">
              <w:t>±28%</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1E6C9C4A" w14:textId="77777777" w:rsidR="002B18E0" w:rsidRPr="00E32335" w:rsidRDefault="002B18E0" w:rsidP="001F5BDB">
            <w:pPr>
              <w:widowControl w:val="0"/>
              <w:jc w:val="center"/>
            </w:pPr>
            <w:r w:rsidRPr="00E32335">
              <w:t>35</w:t>
            </w:r>
          </w:p>
          <w:p w14:paraId="47B48C76" w14:textId="77777777" w:rsidR="002B18E0" w:rsidRPr="00E32335" w:rsidRDefault="002B18E0" w:rsidP="001F5BDB">
            <w:pPr>
              <w:widowControl w:val="0"/>
              <w:jc w:val="center"/>
            </w:pPr>
            <w:r w:rsidRPr="00E32335">
              <w:t>±41%</w:t>
            </w:r>
          </w:p>
        </w:tc>
        <w:tc>
          <w:tcPr>
            <w:tcW w:w="871"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747D72F1" w14:textId="639ED4C3" w:rsidR="002B18E0" w:rsidRPr="0023079D" w:rsidRDefault="00A078F8" w:rsidP="001F5BDB">
            <w:pPr>
              <w:widowControl w:val="0"/>
              <w:jc w:val="center"/>
              <w:rPr>
                <w:b/>
              </w:rPr>
            </w:pPr>
            <w:r w:rsidRPr="0023079D">
              <w:rPr>
                <w:b/>
              </w:rPr>
              <w:t>*</w:t>
            </w:r>
            <w:r w:rsidR="002B18E0" w:rsidRPr="0023079D">
              <w:rPr>
                <w:b/>
              </w:rPr>
              <w:t>33</w:t>
            </w:r>
          </w:p>
          <w:p w14:paraId="0BAF6CDB" w14:textId="77777777" w:rsidR="002B18E0" w:rsidRPr="0023079D" w:rsidRDefault="002B18E0" w:rsidP="001F5BDB">
            <w:pPr>
              <w:widowControl w:val="0"/>
              <w:jc w:val="center"/>
              <w:rPr>
                <w:b/>
              </w:rPr>
            </w:pPr>
            <w:r w:rsidRPr="0023079D">
              <w:rPr>
                <w:b/>
              </w:rPr>
              <w:t>±24%</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63EFD736" w14:textId="5F5536F9" w:rsidR="002B18E0" w:rsidRPr="0023079D" w:rsidRDefault="00A078F8" w:rsidP="001F5BDB">
            <w:pPr>
              <w:widowControl w:val="0"/>
              <w:jc w:val="center"/>
              <w:rPr>
                <w:b/>
              </w:rPr>
            </w:pPr>
            <w:r w:rsidRPr="0023079D">
              <w:rPr>
                <w:b/>
              </w:rPr>
              <w:t>*</w:t>
            </w:r>
            <w:r w:rsidR="002B18E0" w:rsidRPr="0023079D">
              <w:rPr>
                <w:b/>
              </w:rPr>
              <w:t>0%</w:t>
            </w:r>
          </w:p>
        </w:tc>
        <w:tc>
          <w:tcPr>
            <w:tcW w:w="871"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032021AA" w14:textId="77777777" w:rsidR="002B18E0" w:rsidRPr="00E32335" w:rsidRDefault="002B18E0" w:rsidP="001F5BDB">
            <w:pPr>
              <w:widowControl w:val="0"/>
              <w:jc w:val="center"/>
            </w:pPr>
            <w:r w:rsidRPr="00E32335">
              <w:t>32</w:t>
            </w:r>
          </w:p>
          <w:p w14:paraId="02B83195" w14:textId="77777777" w:rsidR="002B18E0" w:rsidRPr="00E32335" w:rsidRDefault="002B18E0" w:rsidP="001F5BDB">
            <w:pPr>
              <w:widowControl w:val="0"/>
              <w:jc w:val="center"/>
            </w:pPr>
            <w:r w:rsidRPr="00E32335">
              <w:t>±21%</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6F52C4CB" w14:textId="77777777" w:rsidR="002B18E0" w:rsidRPr="00E32335" w:rsidRDefault="002B18E0" w:rsidP="001F5BDB">
            <w:pPr>
              <w:widowControl w:val="0"/>
              <w:jc w:val="center"/>
            </w:pPr>
            <w:r w:rsidRPr="00E32335">
              <w:t>31</w:t>
            </w:r>
          </w:p>
          <w:p w14:paraId="5554A244" w14:textId="77777777" w:rsidR="002B18E0" w:rsidRPr="00E32335" w:rsidRDefault="002B18E0" w:rsidP="001F5BDB">
            <w:pPr>
              <w:widowControl w:val="0"/>
              <w:jc w:val="center"/>
            </w:pPr>
            <w:r w:rsidRPr="00E32335">
              <w:t>±33%</w:t>
            </w:r>
          </w:p>
        </w:tc>
      </w:tr>
      <w:tr w:rsidR="009723CB" w14:paraId="0F46A888" w14:textId="77777777" w:rsidTr="00457E21">
        <w:trPr>
          <w:trHeight w:val="380"/>
        </w:trPr>
        <w:tc>
          <w:tcPr>
            <w:tcW w:w="1126" w:type="dxa"/>
            <w:tcBorders>
              <w:top w:val="single" w:sz="8" w:space="0" w:color="000000"/>
              <w:left w:val="single" w:sz="8" w:space="0" w:color="000000"/>
              <w:bottom w:val="single" w:sz="8" w:space="0" w:color="000000"/>
              <w:right w:val="single" w:sz="18" w:space="0" w:color="000000"/>
            </w:tcBorders>
            <w:shd w:val="clear" w:color="auto" w:fill="auto"/>
            <w:tcMar>
              <w:top w:w="100" w:type="dxa"/>
              <w:left w:w="100" w:type="dxa"/>
              <w:bottom w:w="100" w:type="dxa"/>
              <w:right w:w="100" w:type="dxa"/>
            </w:tcMar>
          </w:tcPr>
          <w:p w14:paraId="38512B6D" w14:textId="77777777" w:rsidR="002B18E0" w:rsidRPr="00B85906" w:rsidRDefault="002B18E0" w:rsidP="001F5BDB">
            <w:pPr>
              <w:widowControl w:val="0"/>
              <w:jc w:val="center"/>
              <w:rPr>
                <w:sz w:val="20"/>
                <w:szCs w:val="20"/>
              </w:rPr>
            </w:pPr>
            <w:r w:rsidRPr="00B85906">
              <w:rPr>
                <w:sz w:val="20"/>
                <w:szCs w:val="20"/>
              </w:rPr>
              <w:t>Case Inlet</w:t>
            </w:r>
          </w:p>
        </w:tc>
        <w:tc>
          <w:tcPr>
            <w:tcW w:w="872"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1CFBC48C" w14:textId="77777777" w:rsidR="002B18E0" w:rsidRPr="00E32335" w:rsidRDefault="002B18E0" w:rsidP="001F5BDB">
            <w:pPr>
              <w:widowControl w:val="0"/>
              <w:jc w:val="center"/>
            </w:pPr>
            <w:r w:rsidRPr="00E32335">
              <w:t>20</w:t>
            </w:r>
          </w:p>
          <w:p w14:paraId="01B0016F" w14:textId="77777777" w:rsidR="002B18E0" w:rsidRPr="00E32335" w:rsidRDefault="002B18E0" w:rsidP="001F5BDB">
            <w:pPr>
              <w:widowControl w:val="0"/>
              <w:jc w:val="center"/>
            </w:pPr>
            <w:r w:rsidRPr="00E32335">
              <w:t>±19%</w:t>
            </w:r>
          </w:p>
        </w:tc>
        <w:tc>
          <w:tcPr>
            <w:tcW w:w="872"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5833B93E" w14:textId="77777777" w:rsidR="002B18E0" w:rsidRPr="00E32335" w:rsidRDefault="002B18E0" w:rsidP="001F5BDB">
            <w:pPr>
              <w:widowControl w:val="0"/>
              <w:jc w:val="center"/>
            </w:pPr>
            <w:r w:rsidRPr="00E32335">
              <w:t>40</w:t>
            </w:r>
          </w:p>
          <w:p w14:paraId="53566906" w14:textId="77777777" w:rsidR="002B18E0" w:rsidRPr="00E32335" w:rsidRDefault="002B18E0" w:rsidP="001F5BDB">
            <w:pPr>
              <w:widowControl w:val="0"/>
              <w:jc w:val="center"/>
            </w:pPr>
            <w:r w:rsidRPr="00E32335">
              <w:t>±30%</w:t>
            </w:r>
          </w:p>
        </w:tc>
        <w:tc>
          <w:tcPr>
            <w:tcW w:w="872"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3507F26F" w14:textId="77777777" w:rsidR="002B18E0" w:rsidRPr="00E32335" w:rsidRDefault="002B18E0" w:rsidP="001F5BDB">
            <w:pPr>
              <w:widowControl w:val="0"/>
              <w:jc w:val="center"/>
            </w:pPr>
            <w:r w:rsidRPr="00E32335">
              <w:t>18</w:t>
            </w:r>
          </w:p>
          <w:p w14:paraId="0CEC4B58" w14:textId="77777777" w:rsidR="002B18E0" w:rsidRPr="00E32335" w:rsidRDefault="002B18E0" w:rsidP="001F5BDB">
            <w:pPr>
              <w:widowControl w:val="0"/>
              <w:jc w:val="center"/>
            </w:pPr>
            <w:r w:rsidRPr="00E32335">
              <w:t>±15%</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6013193A" w14:textId="77777777" w:rsidR="002B18E0" w:rsidRPr="00E32335" w:rsidRDefault="002B18E0" w:rsidP="001F5BDB">
            <w:pPr>
              <w:widowControl w:val="0"/>
              <w:jc w:val="center"/>
            </w:pPr>
            <w:r w:rsidRPr="00E32335">
              <w:t>15</w:t>
            </w:r>
          </w:p>
          <w:p w14:paraId="57BBB0FE" w14:textId="77777777" w:rsidR="002B18E0" w:rsidRPr="00E32335" w:rsidRDefault="002B18E0" w:rsidP="001F5BDB">
            <w:pPr>
              <w:widowControl w:val="0"/>
              <w:jc w:val="center"/>
            </w:pPr>
            <w:r w:rsidRPr="00E32335">
              <w:t>±26%</w:t>
            </w:r>
          </w:p>
        </w:tc>
        <w:tc>
          <w:tcPr>
            <w:tcW w:w="871"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5681E1D4" w14:textId="77777777" w:rsidR="002B18E0" w:rsidRPr="00E32335" w:rsidRDefault="002B18E0" w:rsidP="001F5BDB">
            <w:pPr>
              <w:widowControl w:val="0"/>
              <w:jc w:val="center"/>
            </w:pPr>
            <w:r w:rsidRPr="00E32335">
              <w:t>50</w:t>
            </w:r>
          </w:p>
          <w:p w14:paraId="4FC16EE3" w14:textId="77777777" w:rsidR="002B18E0" w:rsidRPr="00E32335" w:rsidRDefault="002B18E0" w:rsidP="001F5BDB">
            <w:pPr>
              <w:widowControl w:val="0"/>
              <w:jc w:val="center"/>
            </w:pPr>
            <w:r w:rsidRPr="00E32335">
              <w:t>±26%</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4AC7D162" w14:textId="77777777" w:rsidR="002B18E0" w:rsidRPr="00E32335" w:rsidRDefault="002B18E0" w:rsidP="001F5BDB">
            <w:pPr>
              <w:widowControl w:val="0"/>
              <w:jc w:val="center"/>
            </w:pPr>
            <w:r w:rsidRPr="00E32335">
              <w:t>50</w:t>
            </w:r>
          </w:p>
          <w:p w14:paraId="6EB86B0D" w14:textId="77777777" w:rsidR="002B18E0" w:rsidRPr="00E32335" w:rsidRDefault="002B18E0" w:rsidP="001F5BDB">
            <w:pPr>
              <w:widowControl w:val="0"/>
              <w:jc w:val="center"/>
            </w:pPr>
            <w:r w:rsidRPr="00E32335">
              <w:t>±48%</w:t>
            </w:r>
          </w:p>
        </w:tc>
        <w:tc>
          <w:tcPr>
            <w:tcW w:w="871"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33EFB262" w14:textId="77777777" w:rsidR="002B18E0" w:rsidRPr="00E32335" w:rsidRDefault="002B18E0" w:rsidP="001F5BDB">
            <w:pPr>
              <w:widowControl w:val="0"/>
              <w:jc w:val="center"/>
            </w:pPr>
            <w:r w:rsidRPr="00E32335">
              <w:t>14</w:t>
            </w:r>
          </w:p>
          <w:p w14:paraId="0D9B195E" w14:textId="77777777" w:rsidR="002B18E0" w:rsidRPr="00E32335" w:rsidRDefault="002B18E0" w:rsidP="001F5BDB">
            <w:pPr>
              <w:widowControl w:val="0"/>
              <w:jc w:val="center"/>
            </w:pPr>
            <w:r w:rsidRPr="00E32335">
              <w:t>±20%</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1228F4BB" w14:textId="77777777" w:rsidR="002B18E0" w:rsidRPr="00E32335" w:rsidRDefault="002B18E0" w:rsidP="001F5BDB">
            <w:pPr>
              <w:widowControl w:val="0"/>
              <w:jc w:val="center"/>
            </w:pPr>
            <w:r w:rsidRPr="00E32335">
              <w:t>0%</w:t>
            </w:r>
          </w:p>
        </w:tc>
        <w:tc>
          <w:tcPr>
            <w:tcW w:w="871" w:type="dxa"/>
            <w:tcBorders>
              <w:top w:val="single" w:sz="12" w:space="0" w:color="auto"/>
              <w:left w:val="single" w:sz="18" w:space="0" w:color="000000"/>
              <w:bottom w:val="single" w:sz="12" w:space="0" w:color="auto"/>
              <w:right w:val="single" w:sz="12" w:space="0" w:color="auto"/>
            </w:tcBorders>
            <w:shd w:val="clear" w:color="auto" w:fill="auto"/>
            <w:tcMar>
              <w:top w:w="100" w:type="dxa"/>
              <w:left w:w="100" w:type="dxa"/>
              <w:bottom w:w="100" w:type="dxa"/>
              <w:right w:w="100" w:type="dxa"/>
            </w:tcMar>
          </w:tcPr>
          <w:p w14:paraId="48416BA5" w14:textId="77777777" w:rsidR="002B18E0" w:rsidRPr="00E32335" w:rsidRDefault="002B18E0" w:rsidP="001F5BDB">
            <w:pPr>
              <w:widowControl w:val="0"/>
              <w:jc w:val="center"/>
            </w:pPr>
            <w:r w:rsidRPr="00E32335">
              <w:t>27</w:t>
            </w:r>
          </w:p>
          <w:p w14:paraId="10CB7E3F" w14:textId="77777777" w:rsidR="002B18E0" w:rsidRPr="00E32335" w:rsidRDefault="002B18E0" w:rsidP="001F5BDB">
            <w:pPr>
              <w:widowControl w:val="0"/>
              <w:jc w:val="center"/>
            </w:pPr>
            <w:r w:rsidRPr="00E32335">
              <w:t>±23%</w:t>
            </w:r>
          </w:p>
        </w:tc>
        <w:tc>
          <w:tcPr>
            <w:tcW w:w="871" w:type="dxa"/>
            <w:tcBorders>
              <w:top w:val="single" w:sz="12" w:space="0" w:color="auto"/>
              <w:left w:val="single" w:sz="12" w:space="0" w:color="auto"/>
              <w:bottom w:val="single" w:sz="12" w:space="0" w:color="auto"/>
              <w:right w:val="single" w:sz="18" w:space="0" w:color="000000"/>
            </w:tcBorders>
            <w:shd w:val="clear" w:color="auto" w:fill="auto"/>
            <w:tcMar>
              <w:top w:w="100" w:type="dxa"/>
              <w:left w:w="100" w:type="dxa"/>
              <w:bottom w:w="100" w:type="dxa"/>
              <w:right w:w="100" w:type="dxa"/>
            </w:tcMar>
          </w:tcPr>
          <w:p w14:paraId="69B7008A" w14:textId="77777777" w:rsidR="002B18E0" w:rsidRPr="00E32335" w:rsidRDefault="002B18E0" w:rsidP="001F5BDB">
            <w:pPr>
              <w:widowControl w:val="0"/>
              <w:jc w:val="center"/>
            </w:pPr>
            <w:r w:rsidRPr="00E32335">
              <w:t>30</w:t>
            </w:r>
          </w:p>
          <w:p w14:paraId="2C9C9D2E" w14:textId="77777777" w:rsidR="002B18E0" w:rsidRPr="00E32335" w:rsidRDefault="002B18E0" w:rsidP="001F5BDB">
            <w:pPr>
              <w:widowControl w:val="0"/>
              <w:jc w:val="center"/>
            </w:pPr>
            <w:r w:rsidRPr="00E32335">
              <w:t>±35%</w:t>
            </w:r>
          </w:p>
        </w:tc>
      </w:tr>
      <w:tr w:rsidR="00A078F8" w14:paraId="5322DBDA" w14:textId="77777777" w:rsidTr="00457E21">
        <w:trPr>
          <w:trHeight w:val="380"/>
        </w:trPr>
        <w:tc>
          <w:tcPr>
            <w:tcW w:w="1126" w:type="dxa"/>
            <w:tcBorders>
              <w:top w:val="single" w:sz="8" w:space="0" w:color="000000"/>
              <w:left w:val="single" w:sz="8" w:space="0" w:color="000000"/>
              <w:bottom w:val="single" w:sz="8" w:space="0" w:color="000000"/>
              <w:right w:val="single" w:sz="18" w:space="0" w:color="000000"/>
            </w:tcBorders>
            <w:shd w:val="clear" w:color="auto" w:fill="auto"/>
            <w:tcMar>
              <w:top w:w="100" w:type="dxa"/>
              <w:left w:w="100" w:type="dxa"/>
              <w:bottom w:w="100" w:type="dxa"/>
              <w:right w:w="100" w:type="dxa"/>
            </w:tcMar>
          </w:tcPr>
          <w:p w14:paraId="2665555D" w14:textId="77777777" w:rsidR="00E32335" w:rsidRPr="00B85906" w:rsidRDefault="00E32335" w:rsidP="00BB45FC">
            <w:pPr>
              <w:widowControl w:val="0"/>
              <w:jc w:val="center"/>
              <w:rPr>
                <w:sz w:val="20"/>
                <w:szCs w:val="20"/>
              </w:rPr>
            </w:pPr>
            <w:r w:rsidRPr="00B85906">
              <w:rPr>
                <w:sz w:val="20"/>
                <w:szCs w:val="20"/>
              </w:rPr>
              <w:t>All Bays</w:t>
            </w:r>
          </w:p>
        </w:tc>
        <w:tc>
          <w:tcPr>
            <w:tcW w:w="872" w:type="dxa"/>
            <w:tcBorders>
              <w:top w:val="single" w:sz="12" w:space="0" w:color="auto"/>
              <w:left w:val="single" w:sz="18" w:space="0" w:color="000000"/>
              <w:bottom w:val="single" w:sz="18" w:space="0" w:color="000000"/>
              <w:right w:val="single" w:sz="12" w:space="0" w:color="auto"/>
            </w:tcBorders>
            <w:shd w:val="clear" w:color="auto" w:fill="auto"/>
            <w:tcMar>
              <w:top w:w="100" w:type="dxa"/>
              <w:left w:w="100" w:type="dxa"/>
              <w:bottom w:w="100" w:type="dxa"/>
              <w:right w:w="100" w:type="dxa"/>
            </w:tcMar>
          </w:tcPr>
          <w:p w14:paraId="18888A7C" w14:textId="14D10EF2" w:rsidR="00E32335" w:rsidRPr="0023079D" w:rsidRDefault="00A078F8" w:rsidP="00BB45FC">
            <w:pPr>
              <w:widowControl w:val="0"/>
              <w:jc w:val="center"/>
              <w:rPr>
                <w:b/>
              </w:rPr>
            </w:pPr>
            <w:r w:rsidRPr="0023079D">
              <w:rPr>
                <w:b/>
              </w:rPr>
              <w:t>*</w:t>
            </w:r>
            <w:r w:rsidR="00E32335" w:rsidRPr="0023079D">
              <w:rPr>
                <w:b/>
              </w:rPr>
              <w:t>27</w:t>
            </w:r>
          </w:p>
          <w:p w14:paraId="49356547" w14:textId="77777777" w:rsidR="00E32335" w:rsidRPr="0023079D" w:rsidRDefault="00E32335" w:rsidP="00BB45FC">
            <w:pPr>
              <w:widowControl w:val="0"/>
              <w:jc w:val="center"/>
              <w:rPr>
                <w:b/>
              </w:rPr>
            </w:pPr>
            <w:r w:rsidRPr="0023079D">
              <w:rPr>
                <w:b/>
              </w:rPr>
              <w:t>±22%</w:t>
            </w:r>
          </w:p>
        </w:tc>
        <w:tc>
          <w:tcPr>
            <w:tcW w:w="872" w:type="dxa"/>
            <w:tcBorders>
              <w:top w:val="single" w:sz="12" w:space="0" w:color="auto"/>
              <w:left w:val="single" w:sz="12" w:space="0" w:color="auto"/>
              <w:bottom w:val="single" w:sz="18" w:space="0" w:color="000000"/>
              <w:right w:val="single" w:sz="18" w:space="0" w:color="000000"/>
            </w:tcBorders>
            <w:shd w:val="clear" w:color="auto" w:fill="auto"/>
            <w:tcMar>
              <w:top w:w="100" w:type="dxa"/>
              <w:left w:w="100" w:type="dxa"/>
              <w:bottom w:w="100" w:type="dxa"/>
              <w:right w:w="100" w:type="dxa"/>
            </w:tcMar>
          </w:tcPr>
          <w:p w14:paraId="207B3168" w14:textId="333717F5" w:rsidR="00E32335" w:rsidRPr="0023079D" w:rsidRDefault="00A078F8" w:rsidP="00BB45FC">
            <w:pPr>
              <w:widowControl w:val="0"/>
              <w:jc w:val="center"/>
              <w:rPr>
                <w:b/>
              </w:rPr>
            </w:pPr>
            <w:r w:rsidRPr="0023079D">
              <w:rPr>
                <w:b/>
              </w:rPr>
              <w:t>*</w:t>
            </w:r>
            <w:r w:rsidR="00E32335" w:rsidRPr="0023079D">
              <w:rPr>
                <w:b/>
              </w:rPr>
              <w:t>62</w:t>
            </w:r>
          </w:p>
          <w:p w14:paraId="312329BD" w14:textId="77777777" w:rsidR="00E32335" w:rsidRPr="0023079D" w:rsidRDefault="00E32335" w:rsidP="00BB45FC">
            <w:pPr>
              <w:widowControl w:val="0"/>
              <w:jc w:val="center"/>
              <w:rPr>
                <w:b/>
              </w:rPr>
            </w:pPr>
            <w:r w:rsidRPr="0023079D">
              <w:rPr>
                <w:b/>
              </w:rPr>
              <w:t>±29%</w:t>
            </w:r>
          </w:p>
        </w:tc>
        <w:tc>
          <w:tcPr>
            <w:tcW w:w="872" w:type="dxa"/>
            <w:tcBorders>
              <w:top w:val="single" w:sz="12" w:space="0" w:color="auto"/>
              <w:left w:val="single" w:sz="18" w:space="0" w:color="000000"/>
              <w:bottom w:val="single" w:sz="18" w:space="0" w:color="000000"/>
              <w:right w:val="single" w:sz="12" w:space="0" w:color="auto"/>
            </w:tcBorders>
            <w:shd w:val="clear" w:color="auto" w:fill="auto"/>
            <w:tcMar>
              <w:top w:w="100" w:type="dxa"/>
              <w:left w:w="100" w:type="dxa"/>
              <w:bottom w:w="100" w:type="dxa"/>
              <w:right w:w="100" w:type="dxa"/>
            </w:tcMar>
          </w:tcPr>
          <w:p w14:paraId="2D051206" w14:textId="77777777" w:rsidR="00E32335" w:rsidRPr="00E32335" w:rsidRDefault="00E32335" w:rsidP="00BB45FC">
            <w:pPr>
              <w:widowControl w:val="0"/>
              <w:jc w:val="center"/>
            </w:pPr>
            <w:r w:rsidRPr="00E32335">
              <w:t>30</w:t>
            </w:r>
          </w:p>
          <w:p w14:paraId="36914C44" w14:textId="77777777" w:rsidR="00E32335" w:rsidRPr="00E32335" w:rsidRDefault="00E32335" w:rsidP="00BB45FC">
            <w:pPr>
              <w:widowControl w:val="0"/>
              <w:jc w:val="center"/>
            </w:pPr>
            <w:r w:rsidRPr="00E32335">
              <w:t>±22%</w:t>
            </w:r>
          </w:p>
        </w:tc>
        <w:tc>
          <w:tcPr>
            <w:tcW w:w="871" w:type="dxa"/>
            <w:tcBorders>
              <w:top w:val="single" w:sz="12" w:space="0" w:color="auto"/>
              <w:left w:val="single" w:sz="12" w:space="0" w:color="auto"/>
              <w:bottom w:val="single" w:sz="18" w:space="0" w:color="000000"/>
              <w:right w:val="single" w:sz="18" w:space="0" w:color="000000"/>
            </w:tcBorders>
            <w:shd w:val="clear" w:color="auto" w:fill="auto"/>
            <w:tcMar>
              <w:top w:w="100" w:type="dxa"/>
              <w:left w:w="100" w:type="dxa"/>
              <w:bottom w:w="100" w:type="dxa"/>
              <w:right w:w="100" w:type="dxa"/>
            </w:tcMar>
          </w:tcPr>
          <w:p w14:paraId="7F27AF9B" w14:textId="77777777" w:rsidR="00E32335" w:rsidRPr="00E32335" w:rsidRDefault="00E32335" w:rsidP="00BB45FC">
            <w:pPr>
              <w:widowControl w:val="0"/>
              <w:jc w:val="center"/>
            </w:pPr>
            <w:r w:rsidRPr="00E32335">
              <w:t>34</w:t>
            </w:r>
          </w:p>
          <w:p w14:paraId="3088C485" w14:textId="77777777" w:rsidR="00E32335" w:rsidRPr="00E32335" w:rsidRDefault="00E32335" w:rsidP="00BB45FC">
            <w:pPr>
              <w:widowControl w:val="0"/>
              <w:jc w:val="center"/>
            </w:pPr>
            <w:r w:rsidRPr="00E32335">
              <w:t>±28%</w:t>
            </w:r>
          </w:p>
        </w:tc>
        <w:tc>
          <w:tcPr>
            <w:tcW w:w="871" w:type="dxa"/>
            <w:tcBorders>
              <w:top w:val="single" w:sz="12" w:space="0" w:color="auto"/>
              <w:left w:val="single" w:sz="18" w:space="0" w:color="000000"/>
              <w:bottom w:val="single" w:sz="18" w:space="0" w:color="000000"/>
              <w:right w:val="single" w:sz="12" w:space="0" w:color="auto"/>
            </w:tcBorders>
            <w:shd w:val="clear" w:color="auto" w:fill="auto"/>
            <w:tcMar>
              <w:top w:w="100" w:type="dxa"/>
              <w:left w:w="100" w:type="dxa"/>
              <w:bottom w:w="100" w:type="dxa"/>
              <w:right w:w="100" w:type="dxa"/>
            </w:tcMar>
          </w:tcPr>
          <w:p w14:paraId="09E7FBDC" w14:textId="77777777" w:rsidR="00E32335" w:rsidRPr="00E32335" w:rsidRDefault="00E32335" w:rsidP="00BB45FC">
            <w:pPr>
              <w:widowControl w:val="0"/>
              <w:jc w:val="center"/>
            </w:pPr>
            <w:r w:rsidRPr="00E32335">
              <w:t>38</w:t>
            </w:r>
          </w:p>
          <w:p w14:paraId="23B5DCB9" w14:textId="77777777" w:rsidR="00E32335" w:rsidRPr="00E32335" w:rsidRDefault="00E32335" w:rsidP="00BB45FC">
            <w:pPr>
              <w:widowControl w:val="0"/>
              <w:jc w:val="center"/>
            </w:pPr>
            <w:r w:rsidRPr="00E32335">
              <w:t>±37%</w:t>
            </w:r>
          </w:p>
        </w:tc>
        <w:tc>
          <w:tcPr>
            <w:tcW w:w="871" w:type="dxa"/>
            <w:tcBorders>
              <w:top w:val="single" w:sz="12" w:space="0" w:color="auto"/>
              <w:left w:val="single" w:sz="12" w:space="0" w:color="auto"/>
              <w:bottom w:val="single" w:sz="18" w:space="0" w:color="000000"/>
              <w:right w:val="single" w:sz="18" w:space="0" w:color="000000"/>
            </w:tcBorders>
            <w:shd w:val="clear" w:color="auto" w:fill="auto"/>
            <w:tcMar>
              <w:top w:w="100" w:type="dxa"/>
              <w:left w:w="100" w:type="dxa"/>
              <w:bottom w:w="100" w:type="dxa"/>
              <w:right w:w="100" w:type="dxa"/>
            </w:tcMar>
          </w:tcPr>
          <w:p w14:paraId="12E168B8" w14:textId="77777777" w:rsidR="00E32335" w:rsidRPr="00E32335" w:rsidRDefault="00E32335" w:rsidP="00BB45FC">
            <w:pPr>
              <w:widowControl w:val="0"/>
              <w:jc w:val="center"/>
            </w:pPr>
            <w:r w:rsidRPr="00E32335">
              <w:t>58</w:t>
            </w:r>
          </w:p>
          <w:p w14:paraId="6C7B2791" w14:textId="77777777" w:rsidR="00E32335" w:rsidRPr="00E32335" w:rsidRDefault="00E32335" w:rsidP="00BB45FC">
            <w:pPr>
              <w:widowControl w:val="0"/>
              <w:jc w:val="center"/>
            </w:pPr>
            <w:r w:rsidRPr="00E32335">
              <w:t>±41%</w:t>
            </w:r>
          </w:p>
        </w:tc>
        <w:tc>
          <w:tcPr>
            <w:tcW w:w="871" w:type="dxa"/>
            <w:tcBorders>
              <w:top w:val="single" w:sz="12" w:space="0" w:color="auto"/>
              <w:left w:val="single" w:sz="18" w:space="0" w:color="000000"/>
              <w:bottom w:val="single" w:sz="18" w:space="0" w:color="000000"/>
              <w:right w:val="single" w:sz="12" w:space="0" w:color="auto"/>
            </w:tcBorders>
            <w:shd w:val="clear" w:color="auto" w:fill="auto"/>
            <w:tcMar>
              <w:top w:w="100" w:type="dxa"/>
              <w:left w:w="100" w:type="dxa"/>
              <w:bottom w:w="100" w:type="dxa"/>
              <w:right w:w="100" w:type="dxa"/>
            </w:tcMar>
          </w:tcPr>
          <w:p w14:paraId="4BA9E5E1" w14:textId="183B40A4" w:rsidR="00E32335" w:rsidRPr="0023079D" w:rsidRDefault="00A078F8" w:rsidP="00BB45FC">
            <w:pPr>
              <w:widowControl w:val="0"/>
              <w:jc w:val="center"/>
              <w:rPr>
                <w:b/>
              </w:rPr>
            </w:pPr>
            <w:r w:rsidRPr="0023079D">
              <w:rPr>
                <w:b/>
              </w:rPr>
              <w:t>*</w:t>
            </w:r>
            <w:r w:rsidR="00E32335" w:rsidRPr="0023079D">
              <w:rPr>
                <w:b/>
              </w:rPr>
              <w:t>20</w:t>
            </w:r>
          </w:p>
          <w:p w14:paraId="4FE4BA7C" w14:textId="77777777" w:rsidR="00E32335" w:rsidRPr="0023079D" w:rsidRDefault="00E32335" w:rsidP="00BB45FC">
            <w:pPr>
              <w:widowControl w:val="0"/>
              <w:jc w:val="center"/>
              <w:rPr>
                <w:b/>
              </w:rPr>
            </w:pPr>
            <w:r w:rsidRPr="0023079D">
              <w:rPr>
                <w:b/>
              </w:rPr>
              <w:t>±16%</w:t>
            </w:r>
          </w:p>
        </w:tc>
        <w:tc>
          <w:tcPr>
            <w:tcW w:w="871" w:type="dxa"/>
            <w:tcBorders>
              <w:top w:val="single" w:sz="12" w:space="0" w:color="auto"/>
              <w:left w:val="single" w:sz="12" w:space="0" w:color="auto"/>
              <w:bottom w:val="single" w:sz="18" w:space="0" w:color="000000"/>
              <w:right w:val="single" w:sz="18" w:space="0" w:color="000000"/>
            </w:tcBorders>
            <w:shd w:val="clear" w:color="auto" w:fill="auto"/>
            <w:tcMar>
              <w:top w:w="100" w:type="dxa"/>
              <w:left w:w="100" w:type="dxa"/>
              <w:bottom w:w="100" w:type="dxa"/>
              <w:right w:w="100" w:type="dxa"/>
            </w:tcMar>
          </w:tcPr>
          <w:p w14:paraId="14D30768" w14:textId="342B8BB3" w:rsidR="00E32335" w:rsidRPr="0023079D" w:rsidRDefault="00A078F8" w:rsidP="00BB45FC">
            <w:pPr>
              <w:widowControl w:val="0"/>
              <w:jc w:val="center"/>
              <w:rPr>
                <w:b/>
              </w:rPr>
            </w:pPr>
            <w:r w:rsidRPr="0023079D">
              <w:rPr>
                <w:b/>
              </w:rPr>
              <w:t>*</w:t>
            </w:r>
            <w:r w:rsidR="00E32335" w:rsidRPr="0023079D">
              <w:rPr>
                <w:b/>
              </w:rPr>
              <w:t>4</w:t>
            </w:r>
          </w:p>
          <w:p w14:paraId="7ECFEAE2" w14:textId="77777777" w:rsidR="00E32335" w:rsidRPr="0023079D" w:rsidRDefault="00E32335" w:rsidP="00BB45FC">
            <w:pPr>
              <w:widowControl w:val="0"/>
              <w:jc w:val="center"/>
              <w:rPr>
                <w:b/>
              </w:rPr>
            </w:pPr>
            <w:r w:rsidRPr="0023079D">
              <w:rPr>
                <w:b/>
              </w:rPr>
              <w:t>±13%</w:t>
            </w:r>
          </w:p>
        </w:tc>
        <w:tc>
          <w:tcPr>
            <w:tcW w:w="871" w:type="dxa"/>
            <w:tcBorders>
              <w:top w:val="single" w:sz="12" w:space="0" w:color="auto"/>
              <w:left w:val="single" w:sz="18" w:space="0" w:color="000000"/>
              <w:bottom w:val="single" w:sz="18" w:space="0" w:color="000000"/>
              <w:right w:val="single" w:sz="12" w:space="0" w:color="auto"/>
            </w:tcBorders>
            <w:shd w:val="clear" w:color="auto" w:fill="auto"/>
            <w:tcMar>
              <w:top w:w="100" w:type="dxa"/>
              <w:left w:w="100" w:type="dxa"/>
              <w:bottom w:w="100" w:type="dxa"/>
              <w:right w:w="100" w:type="dxa"/>
            </w:tcMar>
          </w:tcPr>
          <w:p w14:paraId="0972D298" w14:textId="72A1A9E2" w:rsidR="00E32335" w:rsidRPr="0023079D" w:rsidRDefault="00B83A35" w:rsidP="00BB45FC">
            <w:pPr>
              <w:widowControl w:val="0"/>
              <w:jc w:val="center"/>
              <w:rPr>
                <w:b/>
              </w:rPr>
            </w:pPr>
            <w:r w:rsidRPr="00B83A35">
              <w:rPr>
                <w:b/>
                <w:vertAlign w:val="superscript"/>
              </w:rPr>
              <w:t>+</w:t>
            </w:r>
            <w:r w:rsidR="00E32335" w:rsidRPr="0023079D">
              <w:rPr>
                <w:b/>
              </w:rPr>
              <w:t>29</w:t>
            </w:r>
          </w:p>
          <w:p w14:paraId="1505D9AD" w14:textId="77777777" w:rsidR="00E32335" w:rsidRPr="0023079D" w:rsidRDefault="00E32335" w:rsidP="00BB45FC">
            <w:pPr>
              <w:widowControl w:val="0"/>
              <w:jc w:val="center"/>
              <w:rPr>
                <w:b/>
              </w:rPr>
            </w:pPr>
            <w:r w:rsidRPr="0023079D">
              <w:rPr>
                <w:b/>
              </w:rPr>
              <w:t>±27%</w:t>
            </w:r>
          </w:p>
        </w:tc>
        <w:tc>
          <w:tcPr>
            <w:tcW w:w="871" w:type="dxa"/>
            <w:tcBorders>
              <w:top w:val="single" w:sz="12" w:space="0" w:color="auto"/>
              <w:left w:val="single" w:sz="12" w:space="0" w:color="auto"/>
              <w:bottom w:val="single" w:sz="18" w:space="0" w:color="000000"/>
              <w:right w:val="single" w:sz="18" w:space="0" w:color="000000"/>
            </w:tcBorders>
            <w:shd w:val="clear" w:color="auto" w:fill="auto"/>
            <w:tcMar>
              <w:top w:w="100" w:type="dxa"/>
              <w:left w:w="100" w:type="dxa"/>
              <w:bottom w:w="100" w:type="dxa"/>
              <w:right w:w="100" w:type="dxa"/>
            </w:tcMar>
          </w:tcPr>
          <w:p w14:paraId="1C7C8E21" w14:textId="612D8003" w:rsidR="00E32335" w:rsidRPr="0023079D" w:rsidRDefault="00B83A35" w:rsidP="00BB45FC">
            <w:pPr>
              <w:widowControl w:val="0"/>
              <w:jc w:val="center"/>
              <w:rPr>
                <w:b/>
              </w:rPr>
            </w:pPr>
            <w:r w:rsidRPr="00B83A35">
              <w:rPr>
                <w:b/>
                <w:vertAlign w:val="superscript"/>
              </w:rPr>
              <w:t>+</w:t>
            </w:r>
            <w:r w:rsidR="00E32335" w:rsidRPr="0023079D">
              <w:rPr>
                <w:b/>
              </w:rPr>
              <w:t>44</w:t>
            </w:r>
          </w:p>
          <w:p w14:paraId="71653804" w14:textId="77777777" w:rsidR="00E32335" w:rsidRPr="0023079D" w:rsidRDefault="00E32335" w:rsidP="00BB45FC">
            <w:pPr>
              <w:widowControl w:val="0"/>
              <w:jc w:val="center"/>
              <w:rPr>
                <w:b/>
              </w:rPr>
            </w:pPr>
            <w:r w:rsidRPr="0023079D">
              <w:rPr>
                <w:b/>
              </w:rPr>
              <w:t>±37%</w:t>
            </w:r>
          </w:p>
        </w:tc>
      </w:tr>
    </w:tbl>
    <w:p w14:paraId="4F221492" w14:textId="77777777" w:rsidR="00B85906" w:rsidRDefault="00B85906" w:rsidP="004F5095">
      <w:pPr>
        <w:suppressLineNumbers/>
        <w:spacing w:line="276" w:lineRule="auto"/>
        <w:rPr>
          <w:b/>
        </w:rPr>
      </w:pPr>
      <w:r>
        <w:rPr>
          <w:b/>
        </w:rPr>
        <w:br w:type="page"/>
      </w:r>
    </w:p>
    <w:p w14:paraId="3D07FEF7" w14:textId="49795797" w:rsidR="00D67C0F" w:rsidRDefault="002B18E0" w:rsidP="00D67C0F">
      <w:pPr>
        <w:spacing w:before="240" w:line="480" w:lineRule="auto"/>
      </w:pPr>
      <w:r>
        <w:rPr>
          <w:b/>
        </w:rPr>
        <w:lastRenderedPageBreak/>
        <w:t>Figure 1</w:t>
      </w:r>
      <w:r>
        <w:t xml:space="preserve">: Locations where </w:t>
      </w:r>
      <w:r>
        <w:rPr>
          <w:i/>
        </w:rPr>
        <w:t xml:space="preserve">O. </w:t>
      </w:r>
      <w:proofErr w:type="spellStart"/>
      <w:r>
        <w:rPr>
          <w:i/>
        </w:rPr>
        <w:t>lurida</w:t>
      </w:r>
      <w:proofErr w:type="spellEnd"/>
      <w:r>
        <w:t xml:space="preserve"> populations’ progenitors were collected (F, D, O), where oysters were housed prior to and during the experiment (C), and where offspring were deployed (F, P, S, I): </w:t>
      </w:r>
      <w:proofErr w:type="spellStart"/>
      <w:r>
        <w:t>Fidalgo</w:t>
      </w:r>
      <w:proofErr w:type="spellEnd"/>
      <w:r>
        <w:t xml:space="preserve"> Bay (F), Port Gamble Bay (P), </w:t>
      </w:r>
      <w:proofErr w:type="spellStart"/>
      <w:r>
        <w:t>Dabob</w:t>
      </w:r>
      <w:proofErr w:type="spellEnd"/>
      <w:r>
        <w:t xml:space="preserve"> Bay (D), Clam Bay (C), Skokomish River Delta (S), Case Inlet (I), Oyster Bay (O).</w:t>
      </w:r>
    </w:p>
    <w:p w14:paraId="15B4D862" w14:textId="2CC768C6" w:rsidR="002B18E0" w:rsidRDefault="002B18E0" w:rsidP="00D67C0F">
      <w:pPr>
        <w:spacing w:before="240" w:line="480" w:lineRule="auto"/>
      </w:pPr>
      <w:r>
        <w:rPr>
          <w:b/>
        </w:rPr>
        <w:t>Figure 2</w:t>
      </w:r>
      <w:r>
        <w:t xml:space="preserve">:  Experimental timeline. Four cohorts of adult </w:t>
      </w:r>
      <w:r>
        <w:rPr>
          <w:i/>
        </w:rPr>
        <w:t xml:space="preserve">O. </w:t>
      </w:r>
      <w:proofErr w:type="spellStart"/>
      <w:r>
        <w:rPr>
          <w:i/>
        </w:rPr>
        <w:t>lurida</w:t>
      </w:r>
      <w:proofErr w:type="spellEnd"/>
      <w:r>
        <w:t xml:space="preserve"> (F, D, O-1, O-2) were sequentially exposed to two winter temperatures (6.1±0.2°C, 10.2±0.5°C) then two pCO</w:t>
      </w:r>
      <w:r>
        <w:rPr>
          <w:vertAlign w:val="subscript"/>
        </w:rPr>
        <w:t>2</w:t>
      </w:r>
      <w:r>
        <w:t xml:space="preserve"> levels (841±85 µ</w:t>
      </w:r>
      <w:proofErr w:type="spellStart"/>
      <w:r>
        <w:t>atm</w:t>
      </w:r>
      <w:proofErr w:type="spellEnd"/>
      <w:r>
        <w:t>, 3045±488 µ</w:t>
      </w:r>
      <w:proofErr w:type="spellStart"/>
      <w:r>
        <w:t>atm</w:t>
      </w:r>
      <w:proofErr w:type="spellEnd"/>
      <w:r>
        <w:t>). They were returned to ambient pCO</w:t>
      </w:r>
      <w:r>
        <w:rPr>
          <w:vertAlign w:val="subscript"/>
        </w:rPr>
        <w:t>2</w:t>
      </w:r>
      <w:r>
        <w:t xml:space="preserve"> conditions to volitionally spawn. Larvae were collected and reared by cohort x temperature x pCO</w:t>
      </w:r>
      <w:r>
        <w:rPr>
          <w:vertAlign w:val="subscript"/>
        </w:rPr>
        <w:t>2</w:t>
      </w:r>
      <w:r>
        <w:t>. Juveniles (~1 year) from 6°C-Ambient pCO</w:t>
      </w:r>
      <w:r>
        <w:rPr>
          <w:vertAlign w:val="subscript"/>
        </w:rPr>
        <w:t xml:space="preserve">2 </w:t>
      </w:r>
      <w:r>
        <w:t>and 6°C-Low pCO</w:t>
      </w:r>
      <w:r>
        <w:rPr>
          <w:vertAlign w:val="subscript"/>
        </w:rPr>
        <w:t>2</w:t>
      </w:r>
      <w:r>
        <w:t xml:space="preserve"> adults were deployed in 4 bays in Puget Sound. </w:t>
      </w:r>
    </w:p>
    <w:p w14:paraId="29247DCE" w14:textId="0EC4F910" w:rsidR="00D67C0F" w:rsidRDefault="002B18E0" w:rsidP="00D67C0F">
      <w:pPr>
        <w:spacing w:before="240" w:line="480" w:lineRule="auto"/>
      </w:pPr>
      <w:r>
        <w:rPr>
          <w:b/>
        </w:rPr>
        <w:t xml:space="preserve">Figure </w:t>
      </w:r>
      <w:r w:rsidR="001B695C">
        <w:rPr>
          <w:b/>
        </w:rPr>
        <w:t>3</w:t>
      </w:r>
      <w:r>
        <w:t>: Gonad developmental stages for male and female gametes, after 60-days in temperature treatments but before pCO</w:t>
      </w:r>
      <w:r>
        <w:rPr>
          <w:vertAlign w:val="subscript"/>
        </w:rPr>
        <w:t>2</w:t>
      </w:r>
      <w:r>
        <w:t xml:space="preserve"> treatments (“Pre”, n=54) and after 52 days in high pCO</w:t>
      </w:r>
      <w:r>
        <w:rPr>
          <w:vertAlign w:val="subscript"/>
        </w:rPr>
        <w:t>2</w:t>
      </w:r>
      <w:r>
        <w:t xml:space="preserve"> (3045±488 µ</w:t>
      </w:r>
      <w:proofErr w:type="spellStart"/>
      <w:r>
        <w:t>atm</w:t>
      </w:r>
      <w:proofErr w:type="spellEnd"/>
      <w:r>
        <w:t>, n=39) and ambient pCO</w:t>
      </w:r>
      <w:r>
        <w:rPr>
          <w:vertAlign w:val="subscript"/>
        </w:rPr>
        <w:t>2</w:t>
      </w:r>
      <w:r>
        <w:t xml:space="preserve"> (841±85 µ</w:t>
      </w:r>
      <w:proofErr w:type="spellStart"/>
      <w:r>
        <w:t>atm</w:t>
      </w:r>
      <w:proofErr w:type="spellEnd"/>
      <w:r>
        <w:t>, n=39)</w:t>
      </w:r>
      <w:r w:rsidR="008A60BF">
        <w:t xml:space="preserve">, which indicates that sperm development </w:t>
      </w:r>
      <w:r w:rsidR="00E808F8">
        <w:t>was</w:t>
      </w:r>
      <w:r w:rsidR="008A60BF">
        <w:t xml:space="preserve"> influenced by elevated</w:t>
      </w:r>
      <w:r w:rsidR="008A60BF" w:rsidRPr="00C82D8C">
        <w:t xml:space="preserve"> winter </w:t>
      </w:r>
      <w:r w:rsidR="008A60BF">
        <w:t>temperature (more advanced) and high pCO</w:t>
      </w:r>
      <w:r w:rsidR="008A60BF">
        <w:rPr>
          <w:vertAlign w:val="subscript"/>
        </w:rPr>
        <w:t>2</w:t>
      </w:r>
      <w:r w:rsidR="008A60BF">
        <w:t xml:space="preserve"> (less advanced, 10°C treatment only), but </w:t>
      </w:r>
      <w:r w:rsidR="00E808F8">
        <w:t xml:space="preserve">oocyte development was not. </w:t>
      </w:r>
      <w:r>
        <w:t>All oysters were assigned both male &amp; female stages; if no oocytes were present, for example, that oyster was designated as female stage 0.</w:t>
      </w:r>
      <w:r w:rsidR="008A60BF">
        <w:t xml:space="preserve"> </w:t>
      </w:r>
    </w:p>
    <w:p w14:paraId="0C8CD61D" w14:textId="2535B4CE" w:rsidR="00D67C0F" w:rsidRDefault="002B18E0" w:rsidP="00D67C0F">
      <w:pPr>
        <w:spacing w:before="240" w:line="480" w:lineRule="auto"/>
      </w:pPr>
      <w:r>
        <w:rPr>
          <w:b/>
        </w:rPr>
        <w:t xml:space="preserve">Figure </w:t>
      </w:r>
      <w:r w:rsidR="001B695C">
        <w:rPr>
          <w:b/>
        </w:rPr>
        <w:t>4</w:t>
      </w:r>
      <w:r>
        <w:t>: Gonad sex, after 60-days in temperature treatments but before pCO</w:t>
      </w:r>
      <w:r>
        <w:rPr>
          <w:vertAlign w:val="subscript"/>
        </w:rPr>
        <w:t>2</w:t>
      </w:r>
      <w:r>
        <w:t xml:space="preserve"> treatments (“Pre”, n=54) and after 52 days in high pCO</w:t>
      </w:r>
      <w:r>
        <w:rPr>
          <w:vertAlign w:val="subscript"/>
        </w:rPr>
        <w:t>2</w:t>
      </w:r>
      <w:r>
        <w:t xml:space="preserve"> (3045±488 µ</w:t>
      </w:r>
      <w:proofErr w:type="spellStart"/>
      <w:r>
        <w:t>atm</w:t>
      </w:r>
      <w:proofErr w:type="spellEnd"/>
      <w:r>
        <w:t>, n=39) and ambient pCO</w:t>
      </w:r>
      <w:r>
        <w:rPr>
          <w:vertAlign w:val="subscript"/>
        </w:rPr>
        <w:t>2</w:t>
      </w:r>
      <w:r>
        <w:t xml:space="preserve"> (841±85 µ</w:t>
      </w:r>
      <w:proofErr w:type="spellStart"/>
      <w:r>
        <w:t>atm</w:t>
      </w:r>
      <w:proofErr w:type="spellEnd"/>
      <w:r>
        <w:t>, n=39).</w:t>
      </w:r>
      <w:r w:rsidR="008A60BF">
        <w:t xml:space="preserve"> Winter conditions did not significantly influence gonad sex ratios.  </w:t>
      </w:r>
    </w:p>
    <w:p w14:paraId="1E3A4AA0" w14:textId="4A44F017" w:rsidR="002B18E0" w:rsidRPr="002B18E0" w:rsidRDefault="002B18E0" w:rsidP="00D67C0F">
      <w:pPr>
        <w:spacing w:before="240" w:line="480" w:lineRule="auto"/>
      </w:pPr>
      <w:r>
        <w:rPr>
          <w:b/>
        </w:rPr>
        <w:t xml:space="preserve">Figure </w:t>
      </w:r>
      <w:r w:rsidR="001B695C">
        <w:rPr>
          <w:b/>
        </w:rPr>
        <w:t>5</w:t>
      </w:r>
      <w:r>
        <w:rPr>
          <w:b/>
        </w:rPr>
        <w:t>:</w:t>
      </w:r>
      <w:r>
        <w:t xml:space="preserve"> Cumulative larvae released over 90 days of continuous volitional spawning under hatchery conditions</w:t>
      </w:r>
      <w:r w:rsidR="00DD70A1">
        <w:t>, normalized by the number of adult oysters</w:t>
      </w:r>
      <w:r>
        <w:t>. Each of the four panels represent a cohort, and lines are color coded by winter temperature and pCO</w:t>
      </w:r>
      <w:r>
        <w:rPr>
          <w:vertAlign w:val="subscript"/>
        </w:rPr>
        <w:t>2</w:t>
      </w:r>
      <w:r>
        <w:t xml:space="preserve"> treatments, where ambient </w:t>
      </w:r>
      <w:r>
        <w:lastRenderedPageBreak/>
        <w:t>pCO</w:t>
      </w:r>
      <w:r>
        <w:rPr>
          <w:vertAlign w:val="subscript"/>
        </w:rPr>
        <w:t>2</w:t>
      </w:r>
      <w:r>
        <w:t xml:space="preserve"> = 841 µ</w:t>
      </w:r>
      <w:proofErr w:type="spellStart"/>
      <w:r>
        <w:t>atm</w:t>
      </w:r>
      <w:proofErr w:type="spellEnd"/>
      <w:r>
        <w:t xml:space="preserve"> (7.8 pH), and high pCO</w:t>
      </w:r>
      <w:r>
        <w:rPr>
          <w:vertAlign w:val="subscript"/>
        </w:rPr>
        <w:t>2</w:t>
      </w:r>
      <w:r>
        <w:t xml:space="preserve"> = 3045 µ</w:t>
      </w:r>
      <w:proofErr w:type="spellStart"/>
      <w:r>
        <w:t>atm</w:t>
      </w:r>
      <w:proofErr w:type="spellEnd"/>
      <w:r>
        <w:t xml:space="preserve"> (7.31). Reproductive conditioning and spawning occurred at 18°C, in ambient pCO</w:t>
      </w:r>
      <w:r>
        <w:rPr>
          <w:vertAlign w:val="subscript"/>
        </w:rPr>
        <w:t>2</w:t>
      </w:r>
      <w:r>
        <w:t>, and with live algae at a density of 66,000 ± 12,000 cells/</w:t>
      </w:r>
      <w:proofErr w:type="spellStart"/>
      <w:r>
        <w:t>mL.</w:t>
      </w:r>
      <w:proofErr w:type="spellEnd"/>
      <w:r>
        <w:t xml:space="preserve"> </w:t>
      </w:r>
    </w:p>
    <w:p w14:paraId="19CC4E07" w14:textId="161AA4A8" w:rsidR="00D67C0F" w:rsidRDefault="002B18E0" w:rsidP="00D67C0F">
      <w:pPr>
        <w:spacing w:before="240" w:line="480" w:lineRule="auto"/>
      </w:pPr>
      <w:r>
        <w:rPr>
          <w:b/>
        </w:rPr>
        <w:t xml:space="preserve">Figure </w:t>
      </w:r>
      <w:r w:rsidR="001B695C">
        <w:rPr>
          <w:b/>
        </w:rPr>
        <w:t>6</w:t>
      </w:r>
      <w:r>
        <w:rPr>
          <w:b/>
        </w:rPr>
        <w:t xml:space="preserve">: </w:t>
      </w:r>
      <w:r w:rsidR="000379C3" w:rsidRPr="000379C3">
        <w:t xml:space="preserve">Left: average number of larvae collected on a daily basis (excluding days where no larvae were released). </w:t>
      </w:r>
      <w:r>
        <w:t xml:space="preserve">Daily </w:t>
      </w:r>
      <w:r w:rsidR="00FA5E14">
        <w:t>pulses of larvae</w:t>
      </w:r>
      <w:r>
        <w:t xml:space="preserve"> </w:t>
      </w:r>
      <w:r w:rsidR="00FA5E14">
        <w:t>were</w:t>
      </w:r>
      <w:r>
        <w:t xml:space="preserve"> </w:t>
      </w:r>
      <w:r w:rsidR="00FA5E14">
        <w:t>larger</w:t>
      </w:r>
      <w:r>
        <w:t xml:space="preserve"> in 10°C than 6°C, but only in oysters exposed to ambient pCO</w:t>
      </w:r>
      <w:r>
        <w:rPr>
          <w:vertAlign w:val="subscript"/>
        </w:rPr>
        <w:t>2</w:t>
      </w:r>
      <w:r>
        <w:t>.</w:t>
      </w:r>
      <w:r w:rsidR="00756594">
        <w:t xml:space="preserve"> For statistical analysis, </w:t>
      </w:r>
      <w:r w:rsidR="00DD70A1">
        <w:t>data</w:t>
      </w:r>
      <w:r w:rsidR="00756594">
        <w:t xml:space="preserve"> was normalized by</w:t>
      </w:r>
      <w:r w:rsidR="00756594" w:rsidRPr="009A6F58">
        <w:t xml:space="preserve"> </w:t>
      </w:r>
      <w:r w:rsidR="00756594">
        <w:t>number of oysters * average oyster height (cm)</w:t>
      </w:r>
      <w:r w:rsidR="00DB5B4D">
        <w:t xml:space="preserve"> </w:t>
      </w:r>
      <w:r w:rsidR="00DB5B4D" w:rsidRPr="00DB5B4D">
        <w:t>(data shown is not normalized)</w:t>
      </w:r>
      <w:r w:rsidR="00756594">
        <w:t xml:space="preserve">. </w:t>
      </w:r>
      <w:r>
        <w:t xml:space="preserve">Right: number of spawning days until larval release peaked; peak release occurred </w:t>
      </w:r>
      <w:r w:rsidR="00DD70A1">
        <w:t xml:space="preserve">on average 8.3 days </w:t>
      </w:r>
      <w:r>
        <w:t>earlier in 10°C treated oysters. Letters (a, ab, b) indicate differences among treatments. Boxes contain values lying within the interquartile range (IQR), with medians indicated by lines in the middle of boxes. Whiskers extend to the largest value no greater than 1.5*IQR.</w:t>
      </w:r>
    </w:p>
    <w:p w14:paraId="1999E032" w14:textId="01772E90" w:rsidR="008F444B" w:rsidRPr="006843FA" w:rsidRDefault="00D67C0F" w:rsidP="008F444B">
      <w:pPr>
        <w:spacing w:before="240" w:line="480" w:lineRule="auto"/>
      </w:pPr>
      <w:r>
        <w:rPr>
          <w:b/>
        </w:rPr>
        <w:t xml:space="preserve">Figure </w:t>
      </w:r>
      <w:r w:rsidR="001B695C">
        <w:rPr>
          <w:b/>
        </w:rPr>
        <w:t>7</w:t>
      </w:r>
      <w:r>
        <w:rPr>
          <w:b/>
        </w:rPr>
        <w:t>:</w:t>
      </w:r>
      <w:r>
        <w:t xml:space="preserve"> Percent survival of juvenile offspring in the field. The four panels each represent survival in one bay (</w:t>
      </w:r>
      <w:proofErr w:type="spellStart"/>
      <w:r>
        <w:t>Fidalgo</w:t>
      </w:r>
      <w:proofErr w:type="spellEnd"/>
      <w:r>
        <w:t xml:space="preserve"> Bay, Port Gamble Bay, Skokomish River Delta, Case Inlet). Within each panel, boxplots are separated by parental pCO</w:t>
      </w:r>
      <w:r>
        <w:rPr>
          <w:vertAlign w:val="subscript"/>
        </w:rPr>
        <w:t>2</w:t>
      </w:r>
      <w:r>
        <w:t xml:space="preserve"> exposure (Ambient=841 µ</w:t>
      </w:r>
      <w:proofErr w:type="spellStart"/>
      <w:r>
        <w:t>atm</w:t>
      </w:r>
      <w:proofErr w:type="spellEnd"/>
      <w:r>
        <w:t>, High=3045 µ</w:t>
      </w:r>
      <w:proofErr w:type="spellStart"/>
      <w:r>
        <w:t>atm</w:t>
      </w:r>
      <w:proofErr w:type="spellEnd"/>
      <w:r>
        <w:t>). Points indicate % survival in each deployment pouch, and symbols indicate cohort (</w:t>
      </w:r>
      <w:proofErr w:type="spellStart"/>
      <w:r>
        <w:t>Fidalgo</w:t>
      </w:r>
      <w:proofErr w:type="spellEnd"/>
      <w:r>
        <w:t xml:space="preserve"> Bay, </w:t>
      </w:r>
      <w:proofErr w:type="spellStart"/>
      <w:r>
        <w:t>Dabob</w:t>
      </w:r>
      <w:proofErr w:type="spellEnd"/>
      <w:r>
        <w:t xml:space="preserve"> Bay, Oyster Bay Cohort 1, and Oyster Bay Cohort 2). Letters (a, b) indicate survival differences among parental pCO</w:t>
      </w:r>
      <w:r>
        <w:rPr>
          <w:vertAlign w:val="subscript"/>
        </w:rPr>
        <w:t xml:space="preserve">2 </w:t>
      </w:r>
      <w:r>
        <w:t>exposure within each bay. Boxes contain values lying within the interquartile range (IQR), with median survival indicated by lines in the middle of boxes. Whiskers extend to the largest value no greater than 1.5*IQR.</w:t>
      </w:r>
    </w:p>
    <w:p w14:paraId="10723C76" w14:textId="73B2A5C0" w:rsidR="006843FA" w:rsidRPr="006843FA" w:rsidRDefault="006843FA" w:rsidP="006843FA">
      <w:pPr>
        <w:suppressLineNumbers/>
        <w:spacing w:line="480" w:lineRule="auto"/>
      </w:pPr>
    </w:p>
    <w:sectPr w:rsidR="006843FA" w:rsidRPr="006843FA" w:rsidSect="00C56A3D">
      <w:headerReference w:type="default" r:id="rId126"/>
      <w:footerReference w:type="even" r:id="rId127"/>
      <w:footerReference w:type="default" r:id="rId128"/>
      <w:pgSz w:w="12240" w:h="15840"/>
      <w:pgMar w:top="1440" w:right="1440" w:bottom="1440" w:left="1440" w:header="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07830" w14:textId="77777777" w:rsidR="002A202F" w:rsidRDefault="002A202F">
      <w:r>
        <w:separator/>
      </w:r>
    </w:p>
  </w:endnote>
  <w:endnote w:type="continuationSeparator" w:id="0">
    <w:p w14:paraId="3BA65249" w14:textId="77777777" w:rsidR="002A202F" w:rsidRDefault="002A2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rdo">
    <w:altName w:val="Calibri"/>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0779470"/>
      <w:docPartObj>
        <w:docPartGallery w:val="Page Numbers (Bottom of Page)"/>
        <w:docPartUnique/>
      </w:docPartObj>
    </w:sdtPr>
    <w:sdtEndPr>
      <w:rPr>
        <w:rStyle w:val="PageNumber"/>
      </w:rPr>
    </w:sdtEndPr>
    <w:sdtContent>
      <w:p w14:paraId="7D693E0F" w14:textId="1D04855A" w:rsidR="00BD1EBF" w:rsidRDefault="00BD1EBF" w:rsidP="001F5B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7A0B6" w14:textId="77777777" w:rsidR="00BD1EBF" w:rsidRDefault="00BD1EBF" w:rsidP="001D5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902089356"/>
      <w:docPartObj>
        <w:docPartGallery w:val="Page Numbers (Bottom of Page)"/>
        <w:docPartUnique/>
      </w:docPartObj>
    </w:sdtPr>
    <w:sdtEndPr>
      <w:rPr>
        <w:rStyle w:val="PageNumber"/>
      </w:rPr>
    </w:sdtEndPr>
    <w:sdtContent>
      <w:p w14:paraId="3E50758A" w14:textId="350A3958" w:rsidR="00BD1EBF" w:rsidRPr="003C635F" w:rsidRDefault="00BD1EBF" w:rsidP="001F5BDB">
        <w:pPr>
          <w:pStyle w:val="Footer"/>
          <w:framePr w:wrap="none" w:vAnchor="text" w:hAnchor="margin" w:xAlign="right" w:y="1"/>
          <w:rPr>
            <w:rStyle w:val="PageNumber"/>
            <w:rFonts w:ascii="Times New Roman" w:hAnsi="Times New Roman" w:cs="Times New Roman"/>
          </w:rPr>
        </w:pPr>
        <w:r w:rsidRPr="003C635F">
          <w:rPr>
            <w:rStyle w:val="PageNumber"/>
            <w:rFonts w:ascii="Times New Roman" w:hAnsi="Times New Roman" w:cs="Times New Roman"/>
          </w:rPr>
          <w:fldChar w:fldCharType="begin"/>
        </w:r>
        <w:r w:rsidRPr="003C635F">
          <w:rPr>
            <w:rStyle w:val="PageNumber"/>
            <w:rFonts w:ascii="Times New Roman" w:hAnsi="Times New Roman" w:cs="Times New Roman"/>
          </w:rPr>
          <w:instrText xml:space="preserve"> PAGE </w:instrText>
        </w:r>
        <w:r w:rsidRPr="003C635F">
          <w:rPr>
            <w:rStyle w:val="PageNumber"/>
            <w:rFonts w:ascii="Times New Roman" w:hAnsi="Times New Roman" w:cs="Times New Roman"/>
          </w:rPr>
          <w:fldChar w:fldCharType="separate"/>
        </w:r>
        <w:r w:rsidRPr="003C635F">
          <w:rPr>
            <w:rStyle w:val="PageNumber"/>
            <w:rFonts w:ascii="Times New Roman" w:hAnsi="Times New Roman" w:cs="Times New Roman"/>
            <w:noProof/>
          </w:rPr>
          <w:t>1</w:t>
        </w:r>
        <w:r w:rsidRPr="003C635F">
          <w:rPr>
            <w:rStyle w:val="PageNumber"/>
            <w:rFonts w:ascii="Times New Roman" w:hAnsi="Times New Roman" w:cs="Times New Roman"/>
          </w:rPr>
          <w:fldChar w:fldCharType="end"/>
        </w:r>
      </w:p>
    </w:sdtContent>
  </w:sdt>
  <w:p w14:paraId="771F5552" w14:textId="6AA61066" w:rsidR="00BD1EBF" w:rsidRPr="001D5A79" w:rsidRDefault="00BD1EBF" w:rsidP="001D5A79">
    <w:pPr>
      <w:pStyle w:val="Footer"/>
      <w:tabs>
        <w:tab w:val="clear" w:pos="4680"/>
        <w:tab w:val="clear" w:pos="9360"/>
        <w:tab w:val="left" w:pos="3462"/>
      </w:tabs>
      <w:ind w:right="360"/>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26620" w14:textId="77777777" w:rsidR="002A202F" w:rsidRDefault="002A202F">
      <w:r>
        <w:separator/>
      </w:r>
    </w:p>
  </w:footnote>
  <w:footnote w:type="continuationSeparator" w:id="0">
    <w:p w14:paraId="25C6C19E" w14:textId="77777777" w:rsidR="002A202F" w:rsidRDefault="002A202F">
      <w:r>
        <w:continuationSeparator/>
      </w:r>
    </w:p>
  </w:footnote>
  <w:footnote w:id="1">
    <w:p w14:paraId="21D057E0" w14:textId="77777777" w:rsidR="00BD1EBF" w:rsidRDefault="00BD1EBF" w:rsidP="005E7D94">
      <w:pPr>
        <w:spacing w:line="276" w:lineRule="auto"/>
      </w:pPr>
      <w:r>
        <w:rPr>
          <w:rStyle w:val="FootnoteReference"/>
        </w:rPr>
        <w:footnoteRef/>
      </w:r>
      <w:r>
        <w:t xml:space="preserve">University of Washington, School of Aquatic and Fishery Sciences, 1122 NE Boat St, Seattle, WA 98105, United States </w:t>
      </w:r>
    </w:p>
    <w:p w14:paraId="50C7DE0D" w14:textId="77777777" w:rsidR="00BD1EBF" w:rsidRDefault="00BD1EBF" w:rsidP="005E7D94">
      <w:pPr>
        <w:spacing w:before="120" w:line="276" w:lineRule="auto"/>
      </w:pPr>
      <w:r>
        <w:rPr>
          <w:vertAlign w:val="superscript"/>
        </w:rPr>
        <w:t>2</w:t>
      </w:r>
      <w:r>
        <w:t xml:space="preserve">Puget Sound Restoration Fund, 8001 NE Day Rd W, Bainbridge Island, WA 98110, United States </w:t>
      </w:r>
    </w:p>
    <w:p w14:paraId="1E9E82F9" w14:textId="77777777" w:rsidR="00BD1EBF" w:rsidRPr="000F0804" w:rsidRDefault="00BD1EBF" w:rsidP="005E7D94">
      <w:pPr>
        <w:spacing w:before="120" w:line="276" w:lineRule="auto"/>
      </w:pPr>
      <w:r>
        <w:rPr>
          <w:vertAlign w:val="superscript"/>
        </w:rPr>
        <w:t>3</w:t>
      </w:r>
      <w:r>
        <w:t>Washington State Department of Natural Resources, 1111 Washington St SE, MS 47027, Olympia, WA 98504, United States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C3C4" w14:textId="77777777" w:rsidR="00BD1EBF" w:rsidRDefault="00BD1EBF">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75BC0"/>
    <w:multiLevelType w:val="hybridMultilevel"/>
    <w:tmpl w:val="29527FAC"/>
    <w:lvl w:ilvl="0" w:tplc="BB7C2230">
      <w:start w:val="2"/>
      <w:numFmt w:val="bullet"/>
      <w:lvlText w:val="-"/>
      <w:lvlJc w:val="left"/>
      <w:pPr>
        <w:ind w:left="787" w:hanging="360"/>
      </w:pPr>
      <w:rPr>
        <w:rFonts w:ascii="Times New Roman" w:eastAsia="Times New Roman" w:hAnsi="Times New Roman"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24370DEC"/>
    <w:multiLevelType w:val="multilevel"/>
    <w:tmpl w:val="A2423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DE6AC8"/>
    <w:multiLevelType w:val="multilevel"/>
    <w:tmpl w:val="9216C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000A1"/>
    <w:multiLevelType w:val="multilevel"/>
    <w:tmpl w:val="A094C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73598"/>
    <w:multiLevelType w:val="multilevel"/>
    <w:tmpl w:val="9118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05128C"/>
    <w:multiLevelType w:val="hybridMultilevel"/>
    <w:tmpl w:val="449697FC"/>
    <w:lvl w:ilvl="0" w:tplc="BB7C223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77"/>
    <w:rsid w:val="00001680"/>
    <w:rsid w:val="00001DDF"/>
    <w:rsid w:val="00001F4D"/>
    <w:rsid w:val="00006989"/>
    <w:rsid w:val="000131C9"/>
    <w:rsid w:val="0001445B"/>
    <w:rsid w:val="00026336"/>
    <w:rsid w:val="000302C9"/>
    <w:rsid w:val="00032C8E"/>
    <w:rsid w:val="000371AF"/>
    <w:rsid w:val="000379C3"/>
    <w:rsid w:val="000537FE"/>
    <w:rsid w:val="00067B3E"/>
    <w:rsid w:val="000731AB"/>
    <w:rsid w:val="0009773D"/>
    <w:rsid w:val="000A75A1"/>
    <w:rsid w:val="000B4C71"/>
    <w:rsid w:val="000C3921"/>
    <w:rsid w:val="000D474E"/>
    <w:rsid w:val="000D6436"/>
    <w:rsid w:val="000E1B46"/>
    <w:rsid w:val="000E5D80"/>
    <w:rsid w:val="000F0804"/>
    <w:rsid w:val="000F63FA"/>
    <w:rsid w:val="000F7B4B"/>
    <w:rsid w:val="00100EE2"/>
    <w:rsid w:val="00100FFE"/>
    <w:rsid w:val="0010628E"/>
    <w:rsid w:val="001107F5"/>
    <w:rsid w:val="00115CD2"/>
    <w:rsid w:val="001252A3"/>
    <w:rsid w:val="001259FF"/>
    <w:rsid w:val="00141326"/>
    <w:rsid w:val="001554ED"/>
    <w:rsid w:val="0016605F"/>
    <w:rsid w:val="0017179C"/>
    <w:rsid w:val="001738E7"/>
    <w:rsid w:val="0017395D"/>
    <w:rsid w:val="00187B8D"/>
    <w:rsid w:val="00196D05"/>
    <w:rsid w:val="001A212A"/>
    <w:rsid w:val="001B4F88"/>
    <w:rsid w:val="001B695C"/>
    <w:rsid w:val="001C39FD"/>
    <w:rsid w:val="001D5A79"/>
    <w:rsid w:val="001F4CCA"/>
    <w:rsid w:val="001F5739"/>
    <w:rsid w:val="001F5B36"/>
    <w:rsid w:val="001F5BDB"/>
    <w:rsid w:val="001F5E17"/>
    <w:rsid w:val="002033D0"/>
    <w:rsid w:val="00203A52"/>
    <w:rsid w:val="00213F00"/>
    <w:rsid w:val="00225D04"/>
    <w:rsid w:val="0023079D"/>
    <w:rsid w:val="00232B70"/>
    <w:rsid w:val="0024069D"/>
    <w:rsid w:val="00240E39"/>
    <w:rsid w:val="00242447"/>
    <w:rsid w:val="00260062"/>
    <w:rsid w:val="00264ABE"/>
    <w:rsid w:val="00270DAE"/>
    <w:rsid w:val="00273549"/>
    <w:rsid w:val="00291234"/>
    <w:rsid w:val="00292D6C"/>
    <w:rsid w:val="002A202F"/>
    <w:rsid w:val="002A72FF"/>
    <w:rsid w:val="002A7385"/>
    <w:rsid w:val="002B18E0"/>
    <w:rsid w:val="002C1A74"/>
    <w:rsid w:val="002D13A4"/>
    <w:rsid w:val="002E1EE6"/>
    <w:rsid w:val="002F0F9F"/>
    <w:rsid w:val="002F3299"/>
    <w:rsid w:val="002F4085"/>
    <w:rsid w:val="00306060"/>
    <w:rsid w:val="0032641E"/>
    <w:rsid w:val="003361CC"/>
    <w:rsid w:val="003453F2"/>
    <w:rsid w:val="00356D2F"/>
    <w:rsid w:val="00392E67"/>
    <w:rsid w:val="00395F26"/>
    <w:rsid w:val="00395FA0"/>
    <w:rsid w:val="00396818"/>
    <w:rsid w:val="003A1842"/>
    <w:rsid w:val="003B0821"/>
    <w:rsid w:val="003B2E5D"/>
    <w:rsid w:val="003C4059"/>
    <w:rsid w:val="003C6068"/>
    <w:rsid w:val="003C635F"/>
    <w:rsid w:val="003D0048"/>
    <w:rsid w:val="003D10ED"/>
    <w:rsid w:val="003D5141"/>
    <w:rsid w:val="003D61B5"/>
    <w:rsid w:val="003D6841"/>
    <w:rsid w:val="003E65EA"/>
    <w:rsid w:val="00403925"/>
    <w:rsid w:val="00412AFA"/>
    <w:rsid w:val="00414E46"/>
    <w:rsid w:val="00424FB9"/>
    <w:rsid w:val="004263FA"/>
    <w:rsid w:val="00430B7E"/>
    <w:rsid w:val="00434B06"/>
    <w:rsid w:val="00435BD7"/>
    <w:rsid w:val="004408CC"/>
    <w:rsid w:val="00442C3E"/>
    <w:rsid w:val="00444007"/>
    <w:rsid w:val="00445381"/>
    <w:rsid w:val="00453658"/>
    <w:rsid w:val="00456EAC"/>
    <w:rsid w:val="00457E21"/>
    <w:rsid w:val="00460EA6"/>
    <w:rsid w:val="004621EA"/>
    <w:rsid w:val="00464AFD"/>
    <w:rsid w:val="0046506E"/>
    <w:rsid w:val="00465901"/>
    <w:rsid w:val="0046679D"/>
    <w:rsid w:val="00474F08"/>
    <w:rsid w:val="004849EE"/>
    <w:rsid w:val="00484E4E"/>
    <w:rsid w:val="00486336"/>
    <w:rsid w:val="00490522"/>
    <w:rsid w:val="00494FF9"/>
    <w:rsid w:val="00495B8B"/>
    <w:rsid w:val="004A0601"/>
    <w:rsid w:val="004B0F9E"/>
    <w:rsid w:val="004B3DC3"/>
    <w:rsid w:val="004B3DF5"/>
    <w:rsid w:val="004D14D7"/>
    <w:rsid w:val="004D5EDA"/>
    <w:rsid w:val="004D6533"/>
    <w:rsid w:val="004E7C76"/>
    <w:rsid w:val="004F0989"/>
    <w:rsid w:val="004F36BA"/>
    <w:rsid w:val="004F5095"/>
    <w:rsid w:val="00501EF7"/>
    <w:rsid w:val="00514CC0"/>
    <w:rsid w:val="00525FF6"/>
    <w:rsid w:val="0053310D"/>
    <w:rsid w:val="005338D1"/>
    <w:rsid w:val="00535970"/>
    <w:rsid w:val="005577E9"/>
    <w:rsid w:val="00564D93"/>
    <w:rsid w:val="0056506E"/>
    <w:rsid w:val="00567003"/>
    <w:rsid w:val="00592944"/>
    <w:rsid w:val="00592D02"/>
    <w:rsid w:val="005B11B5"/>
    <w:rsid w:val="005C5EE4"/>
    <w:rsid w:val="005E1DD2"/>
    <w:rsid w:val="005E7D94"/>
    <w:rsid w:val="005F1702"/>
    <w:rsid w:val="005F535A"/>
    <w:rsid w:val="005F6CB1"/>
    <w:rsid w:val="006103BB"/>
    <w:rsid w:val="00611518"/>
    <w:rsid w:val="00620AFD"/>
    <w:rsid w:val="00621B1C"/>
    <w:rsid w:val="00622224"/>
    <w:rsid w:val="00635752"/>
    <w:rsid w:val="0066091E"/>
    <w:rsid w:val="00675791"/>
    <w:rsid w:val="00675BEE"/>
    <w:rsid w:val="006770D5"/>
    <w:rsid w:val="006843FA"/>
    <w:rsid w:val="0068692E"/>
    <w:rsid w:val="006A2460"/>
    <w:rsid w:val="006A5FEA"/>
    <w:rsid w:val="006C0DCA"/>
    <w:rsid w:val="006D3D52"/>
    <w:rsid w:val="006D639C"/>
    <w:rsid w:val="006E33D0"/>
    <w:rsid w:val="006F0399"/>
    <w:rsid w:val="006F55C1"/>
    <w:rsid w:val="00702D65"/>
    <w:rsid w:val="00707E7B"/>
    <w:rsid w:val="007431E1"/>
    <w:rsid w:val="0074706E"/>
    <w:rsid w:val="0075478B"/>
    <w:rsid w:val="00755F89"/>
    <w:rsid w:val="00756594"/>
    <w:rsid w:val="007707D8"/>
    <w:rsid w:val="00770B29"/>
    <w:rsid w:val="00776BB8"/>
    <w:rsid w:val="007B153D"/>
    <w:rsid w:val="007B28F1"/>
    <w:rsid w:val="007C0197"/>
    <w:rsid w:val="007C4A19"/>
    <w:rsid w:val="007D4271"/>
    <w:rsid w:val="007D7B7B"/>
    <w:rsid w:val="007E1805"/>
    <w:rsid w:val="007F1605"/>
    <w:rsid w:val="007F4101"/>
    <w:rsid w:val="00805FFB"/>
    <w:rsid w:val="00807D49"/>
    <w:rsid w:val="008145C0"/>
    <w:rsid w:val="00814A57"/>
    <w:rsid w:val="00815A1E"/>
    <w:rsid w:val="00835B75"/>
    <w:rsid w:val="0084316F"/>
    <w:rsid w:val="0085655B"/>
    <w:rsid w:val="008678B4"/>
    <w:rsid w:val="00881EB4"/>
    <w:rsid w:val="008A5CC2"/>
    <w:rsid w:val="008A60BF"/>
    <w:rsid w:val="008B5D21"/>
    <w:rsid w:val="008B7847"/>
    <w:rsid w:val="008C3903"/>
    <w:rsid w:val="008C3D16"/>
    <w:rsid w:val="008C5B20"/>
    <w:rsid w:val="008D6A01"/>
    <w:rsid w:val="008F444B"/>
    <w:rsid w:val="00904FBF"/>
    <w:rsid w:val="0090775E"/>
    <w:rsid w:val="00916D8D"/>
    <w:rsid w:val="00931795"/>
    <w:rsid w:val="00935201"/>
    <w:rsid w:val="00936839"/>
    <w:rsid w:val="00940497"/>
    <w:rsid w:val="009462E5"/>
    <w:rsid w:val="00953BB7"/>
    <w:rsid w:val="009559B6"/>
    <w:rsid w:val="00957758"/>
    <w:rsid w:val="00960525"/>
    <w:rsid w:val="00961A52"/>
    <w:rsid w:val="00965EF3"/>
    <w:rsid w:val="00967B68"/>
    <w:rsid w:val="00967E57"/>
    <w:rsid w:val="009723CB"/>
    <w:rsid w:val="009741C9"/>
    <w:rsid w:val="009747FF"/>
    <w:rsid w:val="009831CC"/>
    <w:rsid w:val="009835A8"/>
    <w:rsid w:val="009852CA"/>
    <w:rsid w:val="00986591"/>
    <w:rsid w:val="009A08B7"/>
    <w:rsid w:val="009A5968"/>
    <w:rsid w:val="009A63E7"/>
    <w:rsid w:val="009A6F58"/>
    <w:rsid w:val="009C62AD"/>
    <w:rsid w:val="009D70DA"/>
    <w:rsid w:val="009F250B"/>
    <w:rsid w:val="009F2B36"/>
    <w:rsid w:val="00A07659"/>
    <w:rsid w:val="00A078F8"/>
    <w:rsid w:val="00A12400"/>
    <w:rsid w:val="00A16E3B"/>
    <w:rsid w:val="00A30BAF"/>
    <w:rsid w:val="00A32C41"/>
    <w:rsid w:val="00A4575E"/>
    <w:rsid w:val="00A47A3F"/>
    <w:rsid w:val="00A50F2C"/>
    <w:rsid w:val="00A57F59"/>
    <w:rsid w:val="00A73230"/>
    <w:rsid w:val="00A740C3"/>
    <w:rsid w:val="00A8564A"/>
    <w:rsid w:val="00A91A6A"/>
    <w:rsid w:val="00A92E0E"/>
    <w:rsid w:val="00AA4350"/>
    <w:rsid w:val="00AB2D8C"/>
    <w:rsid w:val="00AB5C5D"/>
    <w:rsid w:val="00AC307E"/>
    <w:rsid w:val="00AD15DF"/>
    <w:rsid w:val="00AE04DC"/>
    <w:rsid w:val="00AE7478"/>
    <w:rsid w:val="00AF238D"/>
    <w:rsid w:val="00B00531"/>
    <w:rsid w:val="00B0199F"/>
    <w:rsid w:val="00B21AC0"/>
    <w:rsid w:val="00B2659C"/>
    <w:rsid w:val="00B30E27"/>
    <w:rsid w:val="00B326D8"/>
    <w:rsid w:val="00B44B9F"/>
    <w:rsid w:val="00B613EC"/>
    <w:rsid w:val="00B71197"/>
    <w:rsid w:val="00B83A35"/>
    <w:rsid w:val="00B85906"/>
    <w:rsid w:val="00BA57BA"/>
    <w:rsid w:val="00BB4239"/>
    <w:rsid w:val="00BB45FC"/>
    <w:rsid w:val="00BC1559"/>
    <w:rsid w:val="00BC3B99"/>
    <w:rsid w:val="00BD1EBF"/>
    <w:rsid w:val="00BD4D16"/>
    <w:rsid w:val="00BE3B31"/>
    <w:rsid w:val="00BF0576"/>
    <w:rsid w:val="00C00CD5"/>
    <w:rsid w:val="00C075DE"/>
    <w:rsid w:val="00C22AEE"/>
    <w:rsid w:val="00C31964"/>
    <w:rsid w:val="00C3618B"/>
    <w:rsid w:val="00C445FE"/>
    <w:rsid w:val="00C53EE6"/>
    <w:rsid w:val="00C56A3D"/>
    <w:rsid w:val="00C82D8C"/>
    <w:rsid w:val="00C87570"/>
    <w:rsid w:val="00CA70D5"/>
    <w:rsid w:val="00CB1344"/>
    <w:rsid w:val="00CB1450"/>
    <w:rsid w:val="00CD0C8C"/>
    <w:rsid w:val="00CD25B0"/>
    <w:rsid w:val="00CD315A"/>
    <w:rsid w:val="00CE04F3"/>
    <w:rsid w:val="00CF7536"/>
    <w:rsid w:val="00D1303D"/>
    <w:rsid w:val="00D13C3F"/>
    <w:rsid w:val="00D241B1"/>
    <w:rsid w:val="00D25422"/>
    <w:rsid w:val="00D345A8"/>
    <w:rsid w:val="00D5091E"/>
    <w:rsid w:val="00D6264A"/>
    <w:rsid w:val="00D64A77"/>
    <w:rsid w:val="00D66493"/>
    <w:rsid w:val="00D676B4"/>
    <w:rsid w:val="00D67C0F"/>
    <w:rsid w:val="00D87BE5"/>
    <w:rsid w:val="00D90A99"/>
    <w:rsid w:val="00D90DA6"/>
    <w:rsid w:val="00D93AA7"/>
    <w:rsid w:val="00D97EE5"/>
    <w:rsid w:val="00DA6E60"/>
    <w:rsid w:val="00DA6ECF"/>
    <w:rsid w:val="00DB1A18"/>
    <w:rsid w:val="00DB5B4D"/>
    <w:rsid w:val="00DC511F"/>
    <w:rsid w:val="00DD380E"/>
    <w:rsid w:val="00DD4F86"/>
    <w:rsid w:val="00DD5EC4"/>
    <w:rsid w:val="00DD64D7"/>
    <w:rsid w:val="00DD70A1"/>
    <w:rsid w:val="00DD741D"/>
    <w:rsid w:val="00DF1B50"/>
    <w:rsid w:val="00E007DB"/>
    <w:rsid w:val="00E05B9C"/>
    <w:rsid w:val="00E26164"/>
    <w:rsid w:val="00E31799"/>
    <w:rsid w:val="00E32335"/>
    <w:rsid w:val="00E345C2"/>
    <w:rsid w:val="00E354C3"/>
    <w:rsid w:val="00E47DBA"/>
    <w:rsid w:val="00E52028"/>
    <w:rsid w:val="00E808F8"/>
    <w:rsid w:val="00E83B7D"/>
    <w:rsid w:val="00EB7C8F"/>
    <w:rsid w:val="00EC0491"/>
    <w:rsid w:val="00EC32B3"/>
    <w:rsid w:val="00EC6DF5"/>
    <w:rsid w:val="00ED72AA"/>
    <w:rsid w:val="00ED764C"/>
    <w:rsid w:val="00EE38CC"/>
    <w:rsid w:val="00EF0C29"/>
    <w:rsid w:val="00EF1324"/>
    <w:rsid w:val="00F02F62"/>
    <w:rsid w:val="00F04669"/>
    <w:rsid w:val="00F05519"/>
    <w:rsid w:val="00F157BC"/>
    <w:rsid w:val="00F20F53"/>
    <w:rsid w:val="00F21A2A"/>
    <w:rsid w:val="00F22048"/>
    <w:rsid w:val="00F249C3"/>
    <w:rsid w:val="00F44BCB"/>
    <w:rsid w:val="00F50CA0"/>
    <w:rsid w:val="00F51E92"/>
    <w:rsid w:val="00F60907"/>
    <w:rsid w:val="00F67189"/>
    <w:rsid w:val="00F703C0"/>
    <w:rsid w:val="00F70B65"/>
    <w:rsid w:val="00F73D66"/>
    <w:rsid w:val="00F747D6"/>
    <w:rsid w:val="00F7731C"/>
    <w:rsid w:val="00F80E35"/>
    <w:rsid w:val="00F81D43"/>
    <w:rsid w:val="00F92CA2"/>
    <w:rsid w:val="00FA4E07"/>
    <w:rsid w:val="00FA5E14"/>
    <w:rsid w:val="00FA6EFF"/>
    <w:rsid w:val="00FB58E9"/>
    <w:rsid w:val="00FE4EAB"/>
    <w:rsid w:val="00FE7CD0"/>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FA70"/>
  <w15:docId w15:val="{D9A6B073-8217-E94B-A7CE-64EE283A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B68"/>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1326"/>
    <w:rPr>
      <w:rFonts w:eastAsia="Arial"/>
      <w:sz w:val="18"/>
      <w:szCs w:val="18"/>
      <w:lang w:val="en"/>
    </w:rPr>
  </w:style>
  <w:style w:type="character" w:customStyle="1" w:styleId="BalloonTextChar">
    <w:name w:val="Balloon Text Char"/>
    <w:basedOn w:val="DefaultParagraphFont"/>
    <w:link w:val="BalloonText"/>
    <w:uiPriority w:val="99"/>
    <w:semiHidden/>
    <w:rsid w:val="00141326"/>
    <w:rPr>
      <w:rFonts w:ascii="Times New Roman" w:hAnsi="Times New Roman" w:cs="Times New Roman"/>
      <w:sz w:val="18"/>
      <w:szCs w:val="18"/>
    </w:rPr>
  </w:style>
  <w:style w:type="character" w:styleId="LineNumber">
    <w:name w:val="line number"/>
    <w:basedOn w:val="DefaultParagraphFont"/>
    <w:uiPriority w:val="99"/>
    <w:semiHidden/>
    <w:unhideWhenUsed/>
    <w:rsid w:val="00C56A3D"/>
  </w:style>
  <w:style w:type="character" w:styleId="Hyperlink">
    <w:name w:val="Hyperlink"/>
    <w:basedOn w:val="DefaultParagraphFont"/>
    <w:uiPriority w:val="99"/>
    <w:unhideWhenUsed/>
    <w:rsid w:val="003C6068"/>
    <w:rPr>
      <w:color w:val="0000FF" w:themeColor="hyperlink"/>
      <w:u w:val="single"/>
    </w:rPr>
  </w:style>
  <w:style w:type="character" w:styleId="UnresolvedMention">
    <w:name w:val="Unresolved Mention"/>
    <w:basedOn w:val="DefaultParagraphFont"/>
    <w:uiPriority w:val="99"/>
    <w:semiHidden/>
    <w:unhideWhenUsed/>
    <w:rsid w:val="003C6068"/>
    <w:rPr>
      <w:color w:val="605E5C"/>
      <w:shd w:val="clear" w:color="auto" w:fill="E1DFDD"/>
    </w:rPr>
  </w:style>
  <w:style w:type="paragraph" w:styleId="FootnoteText">
    <w:name w:val="footnote text"/>
    <w:basedOn w:val="Normal"/>
    <w:link w:val="FootnoteTextChar"/>
    <w:uiPriority w:val="99"/>
    <w:semiHidden/>
    <w:unhideWhenUsed/>
    <w:rsid w:val="001D5A79"/>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1D5A79"/>
    <w:rPr>
      <w:sz w:val="20"/>
      <w:szCs w:val="20"/>
    </w:rPr>
  </w:style>
  <w:style w:type="character" w:styleId="FootnoteReference">
    <w:name w:val="footnote reference"/>
    <w:basedOn w:val="DefaultParagraphFont"/>
    <w:uiPriority w:val="99"/>
    <w:semiHidden/>
    <w:unhideWhenUsed/>
    <w:rsid w:val="001D5A79"/>
    <w:rPr>
      <w:vertAlign w:val="superscript"/>
    </w:rPr>
  </w:style>
  <w:style w:type="paragraph" w:styleId="Header">
    <w:name w:val="header"/>
    <w:basedOn w:val="Normal"/>
    <w:link w:val="HeaderChar"/>
    <w:uiPriority w:val="99"/>
    <w:unhideWhenUsed/>
    <w:rsid w:val="001D5A79"/>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1D5A79"/>
  </w:style>
  <w:style w:type="paragraph" w:styleId="Footer">
    <w:name w:val="footer"/>
    <w:basedOn w:val="Normal"/>
    <w:link w:val="FooterChar"/>
    <w:uiPriority w:val="99"/>
    <w:unhideWhenUsed/>
    <w:rsid w:val="001D5A79"/>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1D5A79"/>
  </w:style>
  <w:style w:type="character" w:styleId="PageNumber">
    <w:name w:val="page number"/>
    <w:basedOn w:val="DefaultParagraphFont"/>
    <w:uiPriority w:val="99"/>
    <w:semiHidden/>
    <w:unhideWhenUsed/>
    <w:rsid w:val="001D5A79"/>
  </w:style>
  <w:style w:type="paragraph" w:styleId="CommentSubject">
    <w:name w:val="annotation subject"/>
    <w:basedOn w:val="CommentText"/>
    <w:next w:val="CommentText"/>
    <w:link w:val="CommentSubjectChar"/>
    <w:uiPriority w:val="99"/>
    <w:semiHidden/>
    <w:unhideWhenUsed/>
    <w:rsid w:val="001F5BDB"/>
    <w:rPr>
      <w:b/>
      <w:bCs/>
    </w:rPr>
  </w:style>
  <w:style w:type="character" w:customStyle="1" w:styleId="CommentSubjectChar">
    <w:name w:val="Comment Subject Char"/>
    <w:basedOn w:val="CommentTextChar"/>
    <w:link w:val="CommentSubject"/>
    <w:uiPriority w:val="99"/>
    <w:semiHidden/>
    <w:rsid w:val="001F5BDB"/>
    <w:rPr>
      <w:b/>
      <w:bCs/>
      <w:sz w:val="20"/>
      <w:szCs w:val="20"/>
    </w:rPr>
  </w:style>
  <w:style w:type="paragraph" w:styleId="NormalWeb">
    <w:name w:val="Normal (Web)"/>
    <w:basedOn w:val="Normal"/>
    <w:uiPriority w:val="99"/>
    <w:unhideWhenUsed/>
    <w:rsid w:val="004D14D7"/>
    <w:pPr>
      <w:spacing w:before="100" w:beforeAutospacing="1" w:after="100" w:afterAutospacing="1"/>
    </w:pPr>
  </w:style>
  <w:style w:type="character" w:styleId="FollowedHyperlink">
    <w:name w:val="FollowedHyperlink"/>
    <w:basedOn w:val="DefaultParagraphFont"/>
    <w:uiPriority w:val="99"/>
    <w:semiHidden/>
    <w:unhideWhenUsed/>
    <w:rsid w:val="00A73230"/>
    <w:rPr>
      <w:color w:val="800080" w:themeColor="followedHyperlink"/>
      <w:u w:val="single"/>
    </w:rPr>
  </w:style>
  <w:style w:type="paragraph" w:styleId="ListParagraph">
    <w:name w:val="List Paragraph"/>
    <w:basedOn w:val="Normal"/>
    <w:uiPriority w:val="34"/>
    <w:qFormat/>
    <w:rsid w:val="00ED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08343">
      <w:bodyDiv w:val="1"/>
      <w:marLeft w:val="0"/>
      <w:marRight w:val="0"/>
      <w:marTop w:val="0"/>
      <w:marBottom w:val="0"/>
      <w:divBdr>
        <w:top w:val="none" w:sz="0" w:space="0" w:color="auto"/>
        <w:left w:val="none" w:sz="0" w:space="0" w:color="auto"/>
        <w:bottom w:val="none" w:sz="0" w:space="0" w:color="auto"/>
        <w:right w:val="none" w:sz="0" w:space="0" w:color="auto"/>
      </w:divBdr>
    </w:div>
    <w:div w:id="91630426">
      <w:bodyDiv w:val="1"/>
      <w:marLeft w:val="0"/>
      <w:marRight w:val="0"/>
      <w:marTop w:val="0"/>
      <w:marBottom w:val="0"/>
      <w:divBdr>
        <w:top w:val="none" w:sz="0" w:space="0" w:color="auto"/>
        <w:left w:val="none" w:sz="0" w:space="0" w:color="auto"/>
        <w:bottom w:val="none" w:sz="0" w:space="0" w:color="auto"/>
        <w:right w:val="none" w:sz="0" w:space="0" w:color="auto"/>
      </w:divBdr>
    </w:div>
    <w:div w:id="93982642">
      <w:bodyDiv w:val="1"/>
      <w:marLeft w:val="0"/>
      <w:marRight w:val="0"/>
      <w:marTop w:val="0"/>
      <w:marBottom w:val="0"/>
      <w:divBdr>
        <w:top w:val="none" w:sz="0" w:space="0" w:color="auto"/>
        <w:left w:val="none" w:sz="0" w:space="0" w:color="auto"/>
        <w:bottom w:val="none" w:sz="0" w:space="0" w:color="auto"/>
        <w:right w:val="none" w:sz="0" w:space="0" w:color="auto"/>
      </w:divBdr>
    </w:div>
    <w:div w:id="109249572">
      <w:bodyDiv w:val="1"/>
      <w:marLeft w:val="0"/>
      <w:marRight w:val="0"/>
      <w:marTop w:val="0"/>
      <w:marBottom w:val="0"/>
      <w:divBdr>
        <w:top w:val="none" w:sz="0" w:space="0" w:color="auto"/>
        <w:left w:val="none" w:sz="0" w:space="0" w:color="auto"/>
        <w:bottom w:val="none" w:sz="0" w:space="0" w:color="auto"/>
        <w:right w:val="none" w:sz="0" w:space="0" w:color="auto"/>
      </w:divBdr>
    </w:div>
    <w:div w:id="116529707">
      <w:bodyDiv w:val="1"/>
      <w:marLeft w:val="0"/>
      <w:marRight w:val="0"/>
      <w:marTop w:val="0"/>
      <w:marBottom w:val="0"/>
      <w:divBdr>
        <w:top w:val="none" w:sz="0" w:space="0" w:color="auto"/>
        <w:left w:val="none" w:sz="0" w:space="0" w:color="auto"/>
        <w:bottom w:val="none" w:sz="0" w:space="0" w:color="auto"/>
        <w:right w:val="none" w:sz="0" w:space="0" w:color="auto"/>
      </w:divBdr>
    </w:div>
    <w:div w:id="117644968">
      <w:bodyDiv w:val="1"/>
      <w:marLeft w:val="0"/>
      <w:marRight w:val="0"/>
      <w:marTop w:val="0"/>
      <w:marBottom w:val="0"/>
      <w:divBdr>
        <w:top w:val="none" w:sz="0" w:space="0" w:color="auto"/>
        <w:left w:val="none" w:sz="0" w:space="0" w:color="auto"/>
        <w:bottom w:val="none" w:sz="0" w:space="0" w:color="auto"/>
        <w:right w:val="none" w:sz="0" w:space="0" w:color="auto"/>
      </w:divBdr>
    </w:div>
    <w:div w:id="202014632">
      <w:bodyDiv w:val="1"/>
      <w:marLeft w:val="0"/>
      <w:marRight w:val="0"/>
      <w:marTop w:val="0"/>
      <w:marBottom w:val="0"/>
      <w:divBdr>
        <w:top w:val="none" w:sz="0" w:space="0" w:color="auto"/>
        <w:left w:val="none" w:sz="0" w:space="0" w:color="auto"/>
        <w:bottom w:val="none" w:sz="0" w:space="0" w:color="auto"/>
        <w:right w:val="none" w:sz="0" w:space="0" w:color="auto"/>
      </w:divBdr>
    </w:div>
    <w:div w:id="229313732">
      <w:bodyDiv w:val="1"/>
      <w:marLeft w:val="0"/>
      <w:marRight w:val="0"/>
      <w:marTop w:val="0"/>
      <w:marBottom w:val="0"/>
      <w:divBdr>
        <w:top w:val="none" w:sz="0" w:space="0" w:color="auto"/>
        <w:left w:val="none" w:sz="0" w:space="0" w:color="auto"/>
        <w:bottom w:val="none" w:sz="0" w:space="0" w:color="auto"/>
        <w:right w:val="none" w:sz="0" w:space="0" w:color="auto"/>
      </w:divBdr>
    </w:div>
    <w:div w:id="229926637">
      <w:bodyDiv w:val="1"/>
      <w:marLeft w:val="0"/>
      <w:marRight w:val="0"/>
      <w:marTop w:val="0"/>
      <w:marBottom w:val="0"/>
      <w:divBdr>
        <w:top w:val="none" w:sz="0" w:space="0" w:color="auto"/>
        <w:left w:val="none" w:sz="0" w:space="0" w:color="auto"/>
        <w:bottom w:val="none" w:sz="0" w:space="0" w:color="auto"/>
        <w:right w:val="none" w:sz="0" w:space="0" w:color="auto"/>
      </w:divBdr>
    </w:div>
    <w:div w:id="235288357">
      <w:bodyDiv w:val="1"/>
      <w:marLeft w:val="0"/>
      <w:marRight w:val="0"/>
      <w:marTop w:val="0"/>
      <w:marBottom w:val="0"/>
      <w:divBdr>
        <w:top w:val="none" w:sz="0" w:space="0" w:color="auto"/>
        <w:left w:val="none" w:sz="0" w:space="0" w:color="auto"/>
        <w:bottom w:val="none" w:sz="0" w:space="0" w:color="auto"/>
        <w:right w:val="none" w:sz="0" w:space="0" w:color="auto"/>
      </w:divBdr>
    </w:div>
    <w:div w:id="293146933">
      <w:bodyDiv w:val="1"/>
      <w:marLeft w:val="0"/>
      <w:marRight w:val="0"/>
      <w:marTop w:val="0"/>
      <w:marBottom w:val="0"/>
      <w:divBdr>
        <w:top w:val="none" w:sz="0" w:space="0" w:color="auto"/>
        <w:left w:val="none" w:sz="0" w:space="0" w:color="auto"/>
        <w:bottom w:val="none" w:sz="0" w:space="0" w:color="auto"/>
        <w:right w:val="none" w:sz="0" w:space="0" w:color="auto"/>
      </w:divBdr>
    </w:div>
    <w:div w:id="353455895">
      <w:bodyDiv w:val="1"/>
      <w:marLeft w:val="0"/>
      <w:marRight w:val="0"/>
      <w:marTop w:val="0"/>
      <w:marBottom w:val="0"/>
      <w:divBdr>
        <w:top w:val="none" w:sz="0" w:space="0" w:color="auto"/>
        <w:left w:val="none" w:sz="0" w:space="0" w:color="auto"/>
        <w:bottom w:val="none" w:sz="0" w:space="0" w:color="auto"/>
        <w:right w:val="none" w:sz="0" w:space="0" w:color="auto"/>
      </w:divBdr>
    </w:div>
    <w:div w:id="380789641">
      <w:bodyDiv w:val="1"/>
      <w:marLeft w:val="0"/>
      <w:marRight w:val="0"/>
      <w:marTop w:val="0"/>
      <w:marBottom w:val="0"/>
      <w:divBdr>
        <w:top w:val="none" w:sz="0" w:space="0" w:color="auto"/>
        <w:left w:val="none" w:sz="0" w:space="0" w:color="auto"/>
        <w:bottom w:val="none" w:sz="0" w:space="0" w:color="auto"/>
        <w:right w:val="none" w:sz="0" w:space="0" w:color="auto"/>
      </w:divBdr>
    </w:div>
    <w:div w:id="425730817">
      <w:bodyDiv w:val="1"/>
      <w:marLeft w:val="0"/>
      <w:marRight w:val="0"/>
      <w:marTop w:val="0"/>
      <w:marBottom w:val="0"/>
      <w:divBdr>
        <w:top w:val="none" w:sz="0" w:space="0" w:color="auto"/>
        <w:left w:val="none" w:sz="0" w:space="0" w:color="auto"/>
        <w:bottom w:val="none" w:sz="0" w:space="0" w:color="auto"/>
        <w:right w:val="none" w:sz="0" w:space="0" w:color="auto"/>
      </w:divBdr>
    </w:div>
    <w:div w:id="457530977">
      <w:bodyDiv w:val="1"/>
      <w:marLeft w:val="0"/>
      <w:marRight w:val="0"/>
      <w:marTop w:val="0"/>
      <w:marBottom w:val="0"/>
      <w:divBdr>
        <w:top w:val="none" w:sz="0" w:space="0" w:color="auto"/>
        <w:left w:val="none" w:sz="0" w:space="0" w:color="auto"/>
        <w:bottom w:val="none" w:sz="0" w:space="0" w:color="auto"/>
        <w:right w:val="none" w:sz="0" w:space="0" w:color="auto"/>
      </w:divBdr>
    </w:div>
    <w:div w:id="464394577">
      <w:bodyDiv w:val="1"/>
      <w:marLeft w:val="0"/>
      <w:marRight w:val="0"/>
      <w:marTop w:val="0"/>
      <w:marBottom w:val="0"/>
      <w:divBdr>
        <w:top w:val="none" w:sz="0" w:space="0" w:color="auto"/>
        <w:left w:val="none" w:sz="0" w:space="0" w:color="auto"/>
        <w:bottom w:val="none" w:sz="0" w:space="0" w:color="auto"/>
        <w:right w:val="none" w:sz="0" w:space="0" w:color="auto"/>
      </w:divBdr>
    </w:div>
    <w:div w:id="539975129">
      <w:bodyDiv w:val="1"/>
      <w:marLeft w:val="0"/>
      <w:marRight w:val="0"/>
      <w:marTop w:val="0"/>
      <w:marBottom w:val="0"/>
      <w:divBdr>
        <w:top w:val="none" w:sz="0" w:space="0" w:color="auto"/>
        <w:left w:val="none" w:sz="0" w:space="0" w:color="auto"/>
        <w:bottom w:val="none" w:sz="0" w:space="0" w:color="auto"/>
        <w:right w:val="none" w:sz="0" w:space="0" w:color="auto"/>
      </w:divBdr>
    </w:div>
    <w:div w:id="569660439">
      <w:bodyDiv w:val="1"/>
      <w:marLeft w:val="0"/>
      <w:marRight w:val="0"/>
      <w:marTop w:val="0"/>
      <w:marBottom w:val="0"/>
      <w:divBdr>
        <w:top w:val="none" w:sz="0" w:space="0" w:color="auto"/>
        <w:left w:val="none" w:sz="0" w:space="0" w:color="auto"/>
        <w:bottom w:val="none" w:sz="0" w:space="0" w:color="auto"/>
        <w:right w:val="none" w:sz="0" w:space="0" w:color="auto"/>
      </w:divBdr>
    </w:div>
    <w:div w:id="609360323">
      <w:bodyDiv w:val="1"/>
      <w:marLeft w:val="0"/>
      <w:marRight w:val="0"/>
      <w:marTop w:val="0"/>
      <w:marBottom w:val="0"/>
      <w:divBdr>
        <w:top w:val="none" w:sz="0" w:space="0" w:color="auto"/>
        <w:left w:val="none" w:sz="0" w:space="0" w:color="auto"/>
        <w:bottom w:val="none" w:sz="0" w:space="0" w:color="auto"/>
        <w:right w:val="none" w:sz="0" w:space="0" w:color="auto"/>
      </w:divBdr>
    </w:div>
    <w:div w:id="638000881">
      <w:bodyDiv w:val="1"/>
      <w:marLeft w:val="0"/>
      <w:marRight w:val="0"/>
      <w:marTop w:val="0"/>
      <w:marBottom w:val="0"/>
      <w:divBdr>
        <w:top w:val="none" w:sz="0" w:space="0" w:color="auto"/>
        <w:left w:val="none" w:sz="0" w:space="0" w:color="auto"/>
        <w:bottom w:val="none" w:sz="0" w:space="0" w:color="auto"/>
        <w:right w:val="none" w:sz="0" w:space="0" w:color="auto"/>
      </w:divBdr>
    </w:div>
    <w:div w:id="655650922">
      <w:bodyDiv w:val="1"/>
      <w:marLeft w:val="0"/>
      <w:marRight w:val="0"/>
      <w:marTop w:val="0"/>
      <w:marBottom w:val="0"/>
      <w:divBdr>
        <w:top w:val="none" w:sz="0" w:space="0" w:color="auto"/>
        <w:left w:val="none" w:sz="0" w:space="0" w:color="auto"/>
        <w:bottom w:val="none" w:sz="0" w:space="0" w:color="auto"/>
        <w:right w:val="none" w:sz="0" w:space="0" w:color="auto"/>
      </w:divBdr>
    </w:div>
    <w:div w:id="687100483">
      <w:bodyDiv w:val="1"/>
      <w:marLeft w:val="0"/>
      <w:marRight w:val="0"/>
      <w:marTop w:val="0"/>
      <w:marBottom w:val="0"/>
      <w:divBdr>
        <w:top w:val="none" w:sz="0" w:space="0" w:color="auto"/>
        <w:left w:val="none" w:sz="0" w:space="0" w:color="auto"/>
        <w:bottom w:val="none" w:sz="0" w:space="0" w:color="auto"/>
        <w:right w:val="none" w:sz="0" w:space="0" w:color="auto"/>
      </w:divBdr>
    </w:div>
    <w:div w:id="701437093">
      <w:bodyDiv w:val="1"/>
      <w:marLeft w:val="0"/>
      <w:marRight w:val="0"/>
      <w:marTop w:val="0"/>
      <w:marBottom w:val="0"/>
      <w:divBdr>
        <w:top w:val="none" w:sz="0" w:space="0" w:color="auto"/>
        <w:left w:val="none" w:sz="0" w:space="0" w:color="auto"/>
        <w:bottom w:val="none" w:sz="0" w:space="0" w:color="auto"/>
        <w:right w:val="none" w:sz="0" w:space="0" w:color="auto"/>
      </w:divBdr>
    </w:div>
    <w:div w:id="754324183">
      <w:bodyDiv w:val="1"/>
      <w:marLeft w:val="0"/>
      <w:marRight w:val="0"/>
      <w:marTop w:val="0"/>
      <w:marBottom w:val="0"/>
      <w:divBdr>
        <w:top w:val="none" w:sz="0" w:space="0" w:color="auto"/>
        <w:left w:val="none" w:sz="0" w:space="0" w:color="auto"/>
        <w:bottom w:val="none" w:sz="0" w:space="0" w:color="auto"/>
        <w:right w:val="none" w:sz="0" w:space="0" w:color="auto"/>
      </w:divBdr>
    </w:div>
    <w:div w:id="771778567">
      <w:bodyDiv w:val="1"/>
      <w:marLeft w:val="0"/>
      <w:marRight w:val="0"/>
      <w:marTop w:val="0"/>
      <w:marBottom w:val="0"/>
      <w:divBdr>
        <w:top w:val="none" w:sz="0" w:space="0" w:color="auto"/>
        <w:left w:val="none" w:sz="0" w:space="0" w:color="auto"/>
        <w:bottom w:val="none" w:sz="0" w:space="0" w:color="auto"/>
        <w:right w:val="none" w:sz="0" w:space="0" w:color="auto"/>
      </w:divBdr>
    </w:div>
    <w:div w:id="868104927">
      <w:bodyDiv w:val="1"/>
      <w:marLeft w:val="0"/>
      <w:marRight w:val="0"/>
      <w:marTop w:val="0"/>
      <w:marBottom w:val="0"/>
      <w:divBdr>
        <w:top w:val="none" w:sz="0" w:space="0" w:color="auto"/>
        <w:left w:val="none" w:sz="0" w:space="0" w:color="auto"/>
        <w:bottom w:val="none" w:sz="0" w:space="0" w:color="auto"/>
        <w:right w:val="none" w:sz="0" w:space="0" w:color="auto"/>
      </w:divBdr>
    </w:div>
    <w:div w:id="894858295">
      <w:bodyDiv w:val="1"/>
      <w:marLeft w:val="0"/>
      <w:marRight w:val="0"/>
      <w:marTop w:val="0"/>
      <w:marBottom w:val="0"/>
      <w:divBdr>
        <w:top w:val="none" w:sz="0" w:space="0" w:color="auto"/>
        <w:left w:val="none" w:sz="0" w:space="0" w:color="auto"/>
        <w:bottom w:val="none" w:sz="0" w:space="0" w:color="auto"/>
        <w:right w:val="none" w:sz="0" w:space="0" w:color="auto"/>
      </w:divBdr>
    </w:div>
    <w:div w:id="909775397">
      <w:bodyDiv w:val="1"/>
      <w:marLeft w:val="0"/>
      <w:marRight w:val="0"/>
      <w:marTop w:val="0"/>
      <w:marBottom w:val="0"/>
      <w:divBdr>
        <w:top w:val="none" w:sz="0" w:space="0" w:color="auto"/>
        <w:left w:val="none" w:sz="0" w:space="0" w:color="auto"/>
        <w:bottom w:val="none" w:sz="0" w:space="0" w:color="auto"/>
        <w:right w:val="none" w:sz="0" w:space="0" w:color="auto"/>
      </w:divBdr>
    </w:div>
    <w:div w:id="991250516">
      <w:bodyDiv w:val="1"/>
      <w:marLeft w:val="0"/>
      <w:marRight w:val="0"/>
      <w:marTop w:val="0"/>
      <w:marBottom w:val="0"/>
      <w:divBdr>
        <w:top w:val="none" w:sz="0" w:space="0" w:color="auto"/>
        <w:left w:val="none" w:sz="0" w:space="0" w:color="auto"/>
        <w:bottom w:val="none" w:sz="0" w:space="0" w:color="auto"/>
        <w:right w:val="none" w:sz="0" w:space="0" w:color="auto"/>
      </w:divBdr>
      <w:divsChild>
        <w:div w:id="1933470669">
          <w:marLeft w:val="0"/>
          <w:marRight w:val="0"/>
          <w:marTop w:val="0"/>
          <w:marBottom w:val="0"/>
          <w:divBdr>
            <w:top w:val="none" w:sz="0" w:space="0" w:color="auto"/>
            <w:left w:val="none" w:sz="0" w:space="0" w:color="auto"/>
            <w:bottom w:val="none" w:sz="0" w:space="0" w:color="auto"/>
            <w:right w:val="none" w:sz="0" w:space="0" w:color="auto"/>
          </w:divBdr>
          <w:divsChild>
            <w:div w:id="1411728465">
              <w:marLeft w:val="0"/>
              <w:marRight w:val="0"/>
              <w:marTop w:val="0"/>
              <w:marBottom w:val="0"/>
              <w:divBdr>
                <w:top w:val="none" w:sz="0" w:space="0" w:color="auto"/>
                <w:left w:val="none" w:sz="0" w:space="0" w:color="auto"/>
                <w:bottom w:val="none" w:sz="0" w:space="0" w:color="auto"/>
                <w:right w:val="none" w:sz="0" w:space="0" w:color="auto"/>
              </w:divBdr>
              <w:divsChild>
                <w:div w:id="6729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7804">
      <w:bodyDiv w:val="1"/>
      <w:marLeft w:val="0"/>
      <w:marRight w:val="0"/>
      <w:marTop w:val="0"/>
      <w:marBottom w:val="0"/>
      <w:divBdr>
        <w:top w:val="none" w:sz="0" w:space="0" w:color="auto"/>
        <w:left w:val="none" w:sz="0" w:space="0" w:color="auto"/>
        <w:bottom w:val="none" w:sz="0" w:space="0" w:color="auto"/>
        <w:right w:val="none" w:sz="0" w:space="0" w:color="auto"/>
      </w:divBdr>
    </w:div>
    <w:div w:id="1086263496">
      <w:bodyDiv w:val="1"/>
      <w:marLeft w:val="0"/>
      <w:marRight w:val="0"/>
      <w:marTop w:val="0"/>
      <w:marBottom w:val="0"/>
      <w:divBdr>
        <w:top w:val="none" w:sz="0" w:space="0" w:color="auto"/>
        <w:left w:val="none" w:sz="0" w:space="0" w:color="auto"/>
        <w:bottom w:val="none" w:sz="0" w:space="0" w:color="auto"/>
        <w:right w:val="none" w:sz="0" w:space="0" w:color="auto"/>
      </w:divBdr>
    </w:div>
    <w:div w:id="1165167268">
      <w:bodyDiv w:val="1"/>
      <w:marLeft w:val="0"/>
      <w:marRight w:val="0"/>
      <w:marTop w:val="0"/>
      <w:marBottom w:val="0"/>
      <w:divBdr>
        <w:top w:val="none" w:sz="0" w:space="0" w:color="auto"/>
        <w:left w:val="none" w:sz="0" w:space="0" w:color="auto"/>
        <w:bottom w:val="none" w:sz="0" w:space="0" w:color="auto"/>
        <w:right w:val="none" w:sz="0" w:space="0" w:color="auto"/>
      </w:divBdr>
    </w:div>
    <w:div w:id="1167328422">
      <w:bodyDiv w:val="1"/>
      <w:marLeft w:val="0"/>
      <w:marRight w:val="0"/>
      <w:marTop w:val="0"/>
      <w:marBottom w:val="0"/>
      <w:divBdr>
        <w:top w:val="none" w:sz="0" w:space="0" w:color="auto"/>
        <w:left w:val="none" w:sz="0" w:space="0" w:color="auto"/>
        <w:bottom w:val="none" w:sz="0" w:space="0" w:color="auto"/>
        <w:right w:val="none" w:sz="0" w:space="0" w:color="auto"/>
      </w:divBdr>
    </w:div>
    <w:div w:id="1172456363">
      <w:bodyDiv w:val="1"/>
      <w:marLeft w:val="0"/>
      <w:marRight w:val="0"/>
      <w:marTop w:val="0"/>
      <w:marBottom w:val="0"/>
      <w:divBdr>
        <w:top w:val="none" w:sz="0" w:space="0" w:color="auto"/>
        <w:left w:val="none" w:sz="0" w:space="0" w:color="auto"/>
        <w:bottom w:val="none" w:sz="0" w:space="0" w:color="auto"/>
        <w:right w:val="none" w:sz="0" w:space="0" w:color="auto"/>
      </w:divBdr>
    </w:div>
    <w:div w:id="1176765831">
      <w:bodyDiv w:val="1"/>
      <w:marLeft w:val="0"/>
      <w:marRight w:val="0"/>
      <w:marTop w:val="0"/>
      <w:marBottom w:val="0"/>
      <w:divBdr>
        <w:top w:val="none" w:sz="0" w:space="0" w:color="auto"/>
        <w:left w:val="none" w:sz="0" w:space="0" w:color="auto"/>
        <w:bottom w:val="none" w:sz="0" w:space="0" w:color="auto"/>
        <w:right w:val="none" w:sz="0" w:space="0" w:color="auto"/>
      </w:divBdr>
    </w:div>
    <w:div w:id="1180125113">
      <w:bodyDiv w:val="1"/>
      <w:marLeft w:val="0"/>
      <w:marRight w:val="0"/>
      <w:marTop w:val="0"/>
      <w:marBottom w:val="0"/>
      <w:divBdr>
        <w:top w:val="none" w:sz="0" w:space="0" w:color="auto"/>
        <w:left w:val="none" w:sz="0" w:space="0" w:color="auto"/>
        <w:bottom w:val="none" w:sz="0" w:space="0" w:color="auto"/>
        <w:right w:val="none" w:sz="0" w:space="0" w:color="auto"/>
      </w:divBdr>
    </w:div>
    <w:div w:id="1281259407">
      <w:bodyDiv w:val="1"/>
      <w:marLeft w:val="0"/>
      <w:marRight w:val="0"/>
      <w:marTop w:val="0"/>
      <w:marBottom w:val="0"/>
      <w:divBdr>
        <w:top w:val="none" w:sz="0" w:space="0" w:color="auto"/>
        <w:left w:val="none" w:sz="0" w:space="0" w:color="auto"/>
        <w:bottom w:val="none" w:sz="0" w:space="0" w:color="auto"/>
        <w:right w:val="none" w:sz="0" w:space="0" w:color="auto"/>
      </w:divBdr>
    </w:div>
    <w:div w:id="1430349636">
      <w:bodyDiv w:val="1"/>
      <w:marLeft w:val="0"/>
      <w:marRight w:val="0"/>
      <w:marTop w:val="0"/>
      <w:marBottom w:val="0"/>
      <w:divBdr>
        <w:top w:val="none" w:sz="0" w:space="0" w:color="auto"/>
        <w:left w:val="none" w:sz="0" w:space="0" w:color="auto"/>
        <w:bottom w:val="none" w:sz="0" w:space="0" w:color="auto"/>
        <w:right w:val="none" w:sz="0" w:space="0" w:color="auto"/>
      </w:divBdr>
    </w:div>
    <w:div w:id="1472015433">
      <w:bodyDiv w:val="1"/>
      <w:marLeft w:val="0"/>
      <w:marRight w:val="0"/>
      <w:marTop w:val="0"/>
      <w:marBottom w:val="0"/>
      <w:divBdr>
        <w:top w:val="none" w:sz="0" w:space="0" w:color="auto"/>
        <w:left w:val="none" w:sz="0" w:space="0" w:color="auto"/>
        <w:bottom w:val="none" w:sz="0" w:space="0" w:color="auto"/>
        <w:right w:val="none" w:sz="0" w:space="0" w:color="auto"/>
      </w:divBdr>
    </w:div>
    <w:div w:id="1523133665">
      <w:bodyDiv w:val="1"/>
      <w:marLeft w:val="0"/>
      <w:marRight w:val="0"/>
      <w:marTop w:val="0"/>
      <w:marBottom w:val="0"/>
      <w:divBdr>
        <w:top w:val="none" w:sz="0" w:space="0" w:color="auto"/>
        <w:left w:val="none" w:sz="0" w:space="0" w:color="auto"/>
        <w:bottom w:val="none" w:sz="0" w:space="0" w:color="auto"/>
        <w:right w:val="none" w:sz="0" w:space="0" w:color="auto"/>
      </w:divBdr>
    </w:div>
    <w:div w:id="1529755077">
      <w:bodyDiv w:val="1"/>
      <w:marLeft w:val="0"/>
      <w:marRight w:val="0"/>
      <w:marTop w:val="0"/>
      <w:marBottom w:val="0"/>
      <w:divBdr>
        <w:top w:val="none" w:sz="0" w:space="0" w:color="auto"/>
        <w:left w:val="none" w:sz="0" w:space="0" w:color="auto"/>
        <w:bottom w:val="none" w:sz="0" w:space="0" w:color="auto"/>
        <w:right w:val="none" w:sz="0" w:space="0" w:color="auto"/>
      </w:divBdr>
    </w:div>
    <w:div w:id="1573155003">
      <w:bodyDiv w:val="1"/>
      <w:marLeft w:val="0"/>
      <w:marRight w:val="0"/>
      <w:marTop w:val="0"/>
      <w:marBottom w:val="0"/>
      <w:divBdr>
        <w:top w:val="none" w:sz="0" w:space="0" w:color="auto"/>
        <w:left w:val="none" w:sz="0" w:space="0" w:color="auto"/>
        <w:bottom w:val="none" w:sz="0" w:space="0" w:color="auto"/>
        <w:right w:val="none" w:sz="0" w:space="0" w:color="auto"/>
      </w:divBdr>
    </w:div>
    <w:div w:id="1574899282">
      <w:bodyDiv w:val="1"/>
      <w:marLeft w:val="0"/>
      <w:marRight w:val="0"/>
      <w:marTop w:val="0"/>
      <w:marBottom w:val="0"/>
      <w:divBdr>
        <w:top w:val="none" w:sz="0" w:space="0" w:color="auto"/>
        <w:left w:val="none" w:sz="0" w:space="0" w:color="auto"/>
        <w:bottom w:val="none" w:sz="0" w:space="0" w:color="auto"/>
        <w:right w:val="none" w:sz="0" w:space="0" w:color="auto"/>
      </w:divBdr>
    </w:div>
    <w:div w:id="1608347753">
      <w:bodyDiv w:val="1"/>
      <w:marLeft w:val="0"/>
      <w:marRight w:val="0"/>
      <w:marTop w:val="0"/>
      <w:marBottom w:val="0"/>
      <w:divBdr>
        <w:top w:val="none" w:sz="0" w:space="0" w:color="auto"/>
        <w:left w:val="none" w:sz="0" w:space="0" w:color="auto"/>
        <w:bottom w:val="none" w:sz="0" w:space="0" w:color="auto"/>
        <w:right w:val="none" w:sz="0" w:space="0" w:color="auto"/>
      </w:divBdr>
    </w:div>
    <w:div w:id="1625237185">
      <w:bodyDiv w:val="1"/>
      <w:marLeft w:val="0"/>
      <w:marRight w:val="0"/>
      <w:marTop w:val="0"/>
      <w:marBottom w:val="0"/>
      <w:divBdr>
        <w:top w:val="none" w:sz="0" w:space="0" w:color="auto"/>
        <w:left w:val="none" w:sz="0" w:space="0" w:color="auto"/>
        <w:bottom w:val="none" w:sz="0" w:space="0" w:color="auto"/>
        <w:right w:val="none" w:sz="0" w:space="0" w:color="auto"/>
      </w:divBdr>
    </w:div>
    <w:div w:id="1665430322">
      <w:bodyDiv w:val="1"/>
      <w:marLeft w:val="0"/>
      <w:marRight w:val="0"/>
      <w:marTop w:val="0"/>
      <w:marBottom w:val="0"/>
      <w:divBdr>
        <w:top w:val="none" w:sz="0" w:space="0" w:color="auto"/>
        <w:left w:val="none" w:sz="0" w:space="0" w:color="auto"/>
        <w:bottom w:val="none" w:sz="0" w:space="0" w:color="auto"/>
        <w:right w:val="none" w:sz="0" w:space="0" w:color="auto"/>
      </w:divBdr>
    </w:div>
    <w:div w:id="1765684794">
      <w:bodyDiv w:val="1"/>
      <w:marLeft w:val="0"/>
      <w:marRight w:val="0"/>
      <w:marTop w:val="0"/>
      <w:marBottom w:val="0"/>
      <w:divBdr>
        <w:top w:val="none" w:sz="0" w:space="0" w:color="auto"/>
        <w:left w:val="none" w:sz="0" w:space="0" w:color="auto"/>
        <w:bottom w:val="none" w:sz="0" w:space="0" w:color="auto"/>
        <w:right w:val="none" w:sz="0" w:space="0" w:color="auto"/>
      </w:divBdr>
    </w:div>
    <w:div w:id="1781679444">
      <w:bodyDiv w:val="1"/>
      <w:marLeft w:val="0"/>
      <w:marRight w:val="0"/>
      <w:marTop w:val="0"/>
      <w:marBottom w:val="0"/>
      <w:divBdr>
        <w:top w:val="none" w:sz="0" w:space="0" w:color="auto"/>
        <w:left w:val="none" w:sz="0" w:space="0" w:color="auto"/>
        <w:bottom w:val="none" w:sz="0" w:space="0" w:color="auto"/>
        <w:right w:val="none" w:sz="0" w:space="0" w:color="auto"/>
      </w:divBdr>
    </w:div>
    <w:div w:id="1784688844">
      <w:bodyDiv w:val="1"/>
      <w:marLeft w:val="0"/>
      <w:marRight w:val="0"/>
      <w:marTop w:val="0"/>
      <w:marBottom w:val="0"/>
      <w:divBdr>
        <w:top w:val="none" w:sz="0" w:space="0" w:color="auto"/>
        <w:left w:val="none" w:sz="0" w:space="0" w:color="auto"/>
        <w:bottom w:val="none" w:sz="0" w:space="0" w:color="auto"/>
        <w:right w:val="none" w:sz="0" w:space="0" w:color="auto"/>
      </w:divBdr>
    </w:div>
    <w:div w:id="1843005213">
      <w:bodyDiv w:val="1"/>
      <w:marLeft w:val="0"/>
      <w:marRight w:val="0"/>
      <w:marTop w:val="0"/>
      <w:marBottom w:val="0"/>
      <w:divBdr>
        <w:top w:val="none" w:sz="0" w:space="0" w:color="auto"/>
        <w:left w:val="none" w:sz="0" w:space="0" w:color="auto"/>
        <w:bottom w:val="none" w:sz="0" w:space="0" w:color="auto"/>
        <w:right w:val="none" w:sz="0" w:space="0" w:color="auto"/>
      </w:divBdr>
    </w:div>
    <w:div w:id="1895845571">
      <w:bodyDiv w:val="1"/>
      <w:marLeft w:val="0"/>
      <w:marRight w:val="0"/>
      <w:marTop w:val="0"/>
      <w:marBottom w:val="0"/>
      <w:divBdr>
        <w:top w:val="none" w:sz="0" w:space="0" w:color="auto"/>
        <w:left w:val="none" w:sz="0" w:space="0" w:color="auto"/>
        <w:bottom w:val="none" w:sz="0" w:space="0" w:color="auto"/>
        <w:right w:val="none" w:sz="0" w:space="0" w:color="auto"/>
      </w:divBdr>
    </w:div>
    <w:div w:id="1918633527">
      <w:bodyDiv w:val="1"/>
      <w:marLeft w:val="0"/>
      <w:marRight w:val="0"/>
      <w:marTop w:val="0"/>
      <w:marBottom w:val="0"/>
      <w:divBdr>
        <w:top w:val="none" w:sz="0" w:space="0" w:color="auto"/>
        <w:left w:val="none" w:sz="0" w:space="0" w:color="auto"/>
        <w:bottom w:val="none" w:sz="0" w:space="0" w:color="auto"/>
        <w:right w:val="none" w:sz="0" w:space="0" w:color="auto"/>
      </w:divBdr>
    </w:div>
    <w:div w:id="2028556238">
      <w:bodyDiv w:val="1"/>
      <w:marLeft w:val="0"/>
      <w:marRight w:val="0"/>
      <w:marTop w:val="0"/>
      <w:marBottom w:val="0"/>
      <w:divBdr>
        <w:top w:val="none" w:sz="0" w:space="0" w:color="auto"/>
        <w:left w:val="none" w:sz="0" w:space="0" w:color="auto"/>
        <w:bottom w:val="none" w:sz="0" w:space="0" w:color="auto"/>
        <w:right w:val="none" w:sz="0" w:space="0" w:color="auto"/>
      </w:divBdr>
    </w:div>
    <w:div w:id="2085907564">
      <w:bodyDiv w:val="1"/>
      <w:marLeft w:val="0"/>
      <w:marRight w:val="0"/>
      <w:marTop w:val="0"/>
      <w:marBottom w:val="0"/>
      <w:divBdr>
        <w:top w:val="none" w:sz="0" w:space="0" w:color="auto"/>
        <w:left w:val="none" w:sz="0" w:space="0" w:color="auto"/>
        <w:bottom w:val="none" w:sz="0" w:space="0" w:color="auto"/>
        <w:right w:val="none" w:sz="0" w:space="0" w:color="auto"/>
      </w:divBdr>
    </w:div>
    <w:div w:id="2089645662">
      <w:bodyDiv w:val="1"/>
      <w:marLeft w:val="0"/>
      <w:marRight w:val="0"/>
      <w:marTop w:val="0"/>
      <w:marBottom w:val="0"/>
      <w:divBdr>
        <w:top w:val="none" w:sz="0" w:space="0" w:color="auto"/>
        <w:left w:val="none" w:sz="0" w:space="0" w:color="auto"/>
        <w:bottom w:val="none" w:sz="0" w:space="0" w:color="auto"/>
        <w:right w:val="none" w:sz="0" w:space="0" w:color="auto"/>
      </w:divBdr>
    </w:div>
    <w:div w:id="2104186575">
      <w:bodyDiv w:val="1"/>
      <w:marLeft w:val="0"/>
      <w:marRight w:val="0"/>
      <w:marTop w:val="0"/>
      <w:marBottom w:val="0"/>
      <w:divBdr>
        <w:top w:val="none" w:sz="0" w:space="0" w:color="auto"/>
        <w:left w:val="none" w:sz="0" w:space="0" w:color="auto"/>
        <w:bottom w:val="none" w:sz="0" w:space="0" w:color="auto"/>
        <w:right w:val="none" w:sz="0" w:space="0" w:color="auto"/>
      </w:divBdr>
    </w:div>
    <w:div w:id="212148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DMAOJn/yRoJ" TargetMode="External"/><Relationship Id="rId21" Type="http://schemas.openxmlformats.org/officeDocument/2006/relationships/hyperlink" Target="https://paperpile.com/c/DMAOJn/msiO+S9dp" TargetMode="External"/><Relationship Id="rId42" Type="http://schemas.openxmlformats.org/officeDocument/2006/relationships/hyperlink" Target="https://paperpile.com/c/DMAOJn/kQaC" TargetMode="External"/><Relationship Id="rId47" Type="http://schemas.openxmlformats.org/officeDocument/2006/relationships/hyperlink" Target="https://paperpile.com/c/DMAOJn/Qv70" TargetMode="External"/><Relationship Id="rId63" Type="http://schemas.openxmlformats.org/officeDocument/2006/relationships/hyperlink" Target="https://paperpile.com/c/DMAOJn/yDyH" TargetMode="External"/><Relationship Id="rId68" Type="http://schemas.openxmlformats.org/officeDocument/2006/relationships/hyperlink" Target="https://paperpile.com/c/DMAOJn/CCKm+m4VW" TargetMode="External"/><Relationship Id="rId84" Type="http://schemas.openxmlformats.org/officeDocument/2006/relationships/hyperlink" Target="https://paperpile.com/c/DMAOJn/OwPR" TargetMode="External"/><Relationship Id="rId89" Type="http://schemas.openxmlformats.org/officeDocument/2006/relationships/hyperlink" Target="https://paperpile.com/c/DMAOJn/qEYN" TargetMode="External"/><Relationship Id="rId112" Type="http://schemas.openxmlformats.org/officeDocument/2006/relationships/hyperlink" Target="https://paperpile.com/c/DMAOJn/utId" TargetMode="External"/><Relationship Id="rId16" Type="http://schemas.openxmlformats.org/officeDocument/2006/relationships/hyperlink" Target="https://paperpile.com/c/DMAOJn/msiO+S9dp" TargetMode="External"/><Relationship Id="rId107" Type="http://schemas.openxmlformats.org/officeDocument/2006/relationships/hyperlink" Target="https://paperpile.com/c/DMAOJn/5aok" TargetMode="External"/><Relationship Id="rId11" Type="http://schemas.openxmlformats.org/officeDocument/2006/relationships/hyperlink" Target="https://paperpile.com/c/DMAOJn/c3Qd+utId" TargetMode="External"/><Relationship Id="rId32" Type="http://schemas.openxmlformats.org/officeDocument/2006/relationships/hyperlink" Target="https://paperpile.com/c/DMAOJn/epIz+bwO9" TargetMode="External"/><Relationship Id="rId37" Type="http://schemas.openxmlformats.org/officeDocument/2006/relationships/hyperlink" Target="https://paperpile.com/c/DMAOJn/8N99" TargetMode="External"/><Relationship Id="rId53" Type="http://schemas.openxmlformats.org/officeDocument/2006/relationships/hyperlink" Target="https://paperpile.com/c/DMAOJn/CFE1+5aok" TargetMode="External"/><Relationship Id="rId58" Type="http://schemas.openxmlformats.org/officeDocument/2006/relationships/hyperlink" Target="https://paperpile.com/c/DMAOJn/ZoUg" TargetMode="External"/><Relationship Id="rId74" Type="http://schemas.openxmlformats.org/officeDocument/2006/relationships/hyperlink" Target="https://paperpile.com/c/DMAOJn/CCKm+m4VW" TargetMode="External"/><Relationship Id="rId79" Type="http://schemas.openxmlformats.org/officeDocument/2006/relationships/hyperlink" Target="https://paperpile.com/c/DMAOJn/qEYN" TargetMode="External"/><Relationship Id="rId102" Type="http://schemas.openxmlformats.org/officeDocument/2006/relationships/hyperlink" Target="https://paperpile.com/c/DMAOJn/y5yL" TargetMode="External"/><Relationship Id="rId123" Type="http://schemas.openxmlformats.org/officeDocument/2006/relationships/hyperlink" Target="https://paperpile.com/c/DMAOJn/N11W" TargetMode="External"/><Relationship Id="rId128"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https://paperpile.com/c/DMAOJn/qEYN" TargetMode="External"/><Relationship Id="rId95" Type="http://schemas.openxmlformats.org/officeDocument/2006/relationships/hyperlink" Target="https://paperpile.com/c/DMAOJn/F9gB" TargetMode="External"/><Relationship Id="rId22" Type="http://schemas.openxmlformats.org/officeDocument/2006/relationships/hyperlink" Target="https://paperpile.com/c/DMAOJn/E8iE" TargetMode="External"/><Relationship Id="rId27" Type="http://schemas.openxmlformats.org/officeDocument/2006/relationships/hyperlink" Target="https://paperpile.com/c/DMAOJn/BKMB" TargetMode="External"/><Relationship Id="rId43" Type="http://schemas.openxmlformats.org/officeDocument/2006/relationships/hyperlink" Target="https://paperpile.com/c/DMAOJn/tYkk" TargetMode="External"/><Relationship Id="rId48" Type="http://schemas.openxmlformats.org/officeDocument/2006/relationships/hyperlink" Target="https://paperpile.com/c/DMAOJn/y5yL" TargetMode="External"/><Relationship Id="rId64" Type="http://schemas.openxmlformats.org/officeDocument/2006/relationships/hyperlink" Target="https://paperpile.com/c/DMAOJn/yDyH" TargetMode="External"/><Relationship Id="rId69" Type="http://schemas.openxmlformats.org/officeDocument/2006/relationships/hyperlink" Target="https://paperpile.com/c/DMAOJn/CCKm+m4VW" TargetMode="External"/><Relationship Id="rId113" Type="http://schemas.openxmlformats.org/officeDocument/2006/relationships/hyperlink" Target="https://paperpile.com/c/DMAOJn/utId" TargetMode="External"/><Relationship Id="rId118" Type="http://schemas.openxmlformats.org/officeDocument/2006/relationships/hyperlink" Target="https://paperpile.com/c/DMAOJn/yRoJ" TargetMode="External"/><Relationship Id="rId80" Type="http://schemas.openxmlformats.org/officeDocument/2006/relationships/hyperlink" Target="https://paperpile.com/c/DMAOJn/OwPR" TargetMode="External"/><Relationship Id="rId85" Type="http://schemas.openxmlformats.org/officeDocument/2006/relationships/hyperlink" Target="https://paperpile.com/c/DMAOJn/4QuA+Xma3" TargetMode="External"/><Relationship Id="rId12" Type="http://schemas.openxmlformats.org/officeDocument/2006/relationships/hyperlink" Target="https://paperpile.com/c/DMAOJn/pj0M" TargetMode="External"/><Relationship Id="rId17" Type="http://schemas.openxmlformats.org/officeDocument/2006/relationships/hyperlink" Target="https://paperpile.com/c/DMAOJn/msiO+S9dp" TargetMode="External"/><Relationship Id="rId33" Type="http://schemas.openxmlformats.org/officeDocument/2006/relationships/hyperlink" Target="https://paperpile.com/c/DMAOJn/UPY3" TargetMode="External"/><Relationship Id="rId38" Type="http://schemas.openxmlformats.org/officeDocument/2006/relationships/hyperlink" Target="https://paperpile.com/c/DMAOJn/yRoJ" TargetMode="External"/><Relationship Id="rId59" Type="http://schemas.openxmlformats.org/officeDocument/2006/relationships/hyperlink" Target="https://paperpile.com/c/DMAOJn/acfL+1tRB" TargetMode="External"/><Relationship Id="rId103" Type="http://schemas.openxmlformats.org/officeDocument/2006/relationships/hyperlink" Target="https://paperpile.com/c/DMAOJn/CFE1" TargetMode="External"/><Relationship Id="rId108" Type="http://schemas.openxmlformats.org/officeDocument/2006/relationships/hyperlink" Target="https://paperpile.com/c/DMAOJn/5aok" TargetMode="External"/><Relationship Id="rId124" Type="http://schemas.openxmlformats.org/officeDocument/2006/relationships/hyperlink" Target="https://paperpile.com/c/DMAOJn/bwO9+98DX+LNlq+BKMB" TargetMode="External"/><Relationship Id="rId129" Type="http://schemas.openxmlformats.org/officeDocument/2006/relationships/fontTable" Target="fontTable.xml"/><Relationship Id="rId54" Type="http://schemas.openxmlformats.org/officeDocument/2006/relationships/hyperlink" Target="https://paperpile.com/c/DMAOJn/CFE1+5aok" TargetMode="External"/><Relationship Id="rId70" Type="http://schemas.openxmlformats.org/officeDocument/2006/relationships/hyperlink" Target="https://paperpile.com/c/DMAOJn/CCKm+m4VW" TargetMode="External"/><Relationship Id="rId75" Type="http://schemas.openxmlformats.org/officeDocument/2006/relationships/hyperlink" Target="https://paperpile.com/c/DMAOJn/CCKm+m4VW" TargetMode="External"/><Relationship Id="rId91" Type="http://schemas.openxmlformats.org/officeDocument/2006/relationships/hyperlink" Target="https://paperpile.com/c/DMAOJn/zxgm" TargetMode="External"/><Relationship Id="rId96" Type="http://schemas.openxmlformats.org/officeDocument/2006/relationships/hyperlink" Target="https://paperpile.com/c/DMAOJn/RDtQ"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aperpile.com/c/DMAOJn/E8iE" TargetMode="External"/><Relationship Id="rId28" Type="http://schemas.openxmlformats.org/officeDocument/2006/relationships/hyperlink" Target="https://paperpile.com/c/DMAOJn/epIz+bwO9" TargetMode="External"/><Relationship Id="rId49" Type="http://schemas.openxmlformats.org/officeDocument/2006/relationships/hyperlink" Target="https://paperpile.com/c/DMAOJn/y5yL" TargetMode="External"/><Relationship Id="rId114" Type="http://schemas.openxmlformats.org/officeDocument/2006/relationships/hyperlink" Target="https://paperpile.com/c/DMAOJn/utId" TargetMode="External"/><Relationship Id="rId119" Type="http://schemas.openxmlformats.org/officeDocument/2006/relationships/hyperlink" Target="https://paperpile.com/c/DMAOJn/yRoJ" TargetMode="External"/><Relationship Id="rId44" Type="http://schemas.openxmlformats.org/officeDocument/2006/relationships/hyperlink" Target="https://paperpile.com/c/DMAOJn/gqlK+gTlm+hTGc" TargetMode="External"/><Relationship Id="rId60" Type="http://schemas.openxmlformats.org/officeDocument/2006/relationships/hyperlink" Target="https://paperpile.com/c/DMAOJn/Bgwc+MDe1+CiIB" TargetMode="External"/><Relationship Id="rId65" Type="http://schemas.openxmlformats.org/officeDocument/2006/relationships/hyperlink" Target="https://paperpile.com/c/DMAOJn/CCKm+m4VW" TargetMode="External"/><Relationship Id="rId81" Type="http://schemas.openxmlformats.org/officeDocument/2006/relationships/hyperlink" Target="https://paperpile.com/c/DMAOJn/OwPR" TargetMode="External"/><Relationship Id="rId86" Type="http://schemas.openxmlformats.org/officeDocument/2006/relationships/hyperlink" Target="https://paperpile.com/c/DMAOJn/4QuA+Xma3" TargetMode="External"/><Relationship Id="rId130" Type="http://schemas.openxmlformats.org/officeDocument/2006/relationships/theme" Target="theme/theme1.xml"/><Relationship Id="rId13" Type="http://schemas.openxmlformats.org/officeDocument/2006/relationships/hyperlink" Target="https://paperpile.com/c/DMAOJn/msiO+S9dp" TargetMode="External"/><Relationship Id="rId18" Type="http://schemas.openxmlformats.org/officeDocument/2006/relationships/hyperlink" Target="https://paperpile.com/c/DMAOJn/msiO+S9dp" TargetMode="External"/><Relationship Id="rId39" Type="http://schemas.openxmlformats.org/officeDocument/2006/relationships/hyperlink" Target="https://paperpile.com/c/DMAOJn/FBle+SkIL+YOvJ" TargetMode="External"/><Relationship Id="rId109" Type="http://schemas.openxmlformats.org/officeDocument/2006/relationships/hyperlink" Target="https://paperpile.com/c/DMAOJn/CFE1" TargetMode="External"/><Relationship Id="rId34" Type="http://schemas.openxmlformats.org/officeDocument/2006/relationships/hyperlink" Target="https://paperpile.com/c/DMAOJn/yRoJ" TargetMode="External"/><Relationship Id="rId50" Type="http://schemas.openxmlformats.org/officeDocument/2006/relationships/hyperlink" Target="https://paperpile.com/c/DMAOJn/y5yL" TargetMode="External"/><Relationship Id="rId55" Type="http://schemas.openxmlformats.org/officeDocument/2006/relationships/hyperlink" Target="https://paperpile.com/c/DMAOJn/CFE1+5aok" TargetMode="External"/><Relationship Id="rId76" Type="http://schemas.openxmlformats.org/officeDocument/2006/relationships/hyperlink" Target="https://paperpile.com/c/DMAOJn/CCKm+m4VW" TargetMode="External"/><Relationship Id="rId97" Type="http://schemas.openxmlformats.org/officeDocument/2006/relationships/hyperlink" Target="https://paperpile.com/c/DMAOJn/sTHB" TargetMode="External"/><Relationship Id="rId104" Type="http://schemas.openxmlformats.org/officeDocument/2006/relationships/hyperlink" Target="https://paperpile.com/c/DMAOJn/CFE1" TargetMode="External"/><Relationship Id="rId120" Type="http://schemas.openxmlformats.org/officeDocument/2006/relationships/hyperlink" Target="https://paperpile.com/c/DMAOJn/yRoJ" TargetMode="External"/><Relationship Id="rId125" Type="http://schemas.openxmlformats.org/officeDocument/2006/relationships/hyperlink" Target="https://paperpile.com/c/DMAOJn/4S67+OeTo+BuWo" TargetMode="External"/><Relationship Id="rId7" Type="http://schemas.openxmlformats.org/officeDocument/2006/relationships/endnotes" Target="endnotes.xml"/><Relationship Id="rId71" Type="http://schemas.openxmlformats.org/officeDocument/2006/relationships/hyperlink" Target="https://paperpile.com/c/DMAOJn/CCKm+m4VW" TargetMode="External"/><Relationship Id="rId92" Type="http://schemas.openxmlformats.org/officeDocument/2006/relationships/hyperlink" Target="https://paperpile.com/c/DMAOJn/PKKi" TargetMode="External"/><Relationship Id="rId2" Type="http://schemas.openxmlformats.org/officeDocument/2006/relationships/numbering" Target="numbering.xml"/><Relationship Id="rId29" Type="http://schemas.openxmlformats.org/officeDocument/2006/relationships/hyperlink" Target="https://paperpile.com/c/DMAOJn/epIz+bwO9" TargetMode="External"/><Relationship Id="rId24" Type="http://schemas.openxmlformats.org/officeDocument/2006/relationships/hyperlink" Target="https://paperpile.com/c/DMAOJn/E8iE" TargetMode="External"/><Relationship Id="rId40" Type="http://schemas.openxmlformats.org/officeDocument/2006/relationships/hyperlink" Target="https://paperpile.com/c/DMAOJn/kQaC" TargetMode="External"/><Relationship Id="rId45" Type="http://schemas.openxmlformats.org/officeDocument/2006/relationships/hyperlink" Target="https://paperpile.com/c/DMAOJn/Qv70" TargetMode="External"/><Relationship Id="rId66" Type="http://schemas.openxmlformats.org/officeDocument/2006/relationships/hyperlink" Target="https://paperpile.com/c/DMAOJn/CCKm+m4VW" TargetMode="External"/><Relationship Id="rId87" Type="http://schemas.openxmlformats.org/officeDocument/2006/relationships/hyperlink" Target="https://paperpile.com/c/DMAOJn/4QuA+Xma3" TargetMode="External"/><Relationship Id="rId110" Type="http://schemas.openxmlformats.org/officeDocument/2006/relationships/hyperlink" Target="https://paperpile.com/c/DMAOJn/CFE1" TargetMode="External"/><Relationship Id="rId115" Type="http://schemas.openxmlformats.org/officeDocument/2006/relationships/hyperlink" Target="https://paperpile.com/c/DMAOJn/yRoJ" TargetMode="External"/><Relationship Id="rId61" Type="http://schemas.openxmlformats.org/officeDocument/2006/relationships/hyperlink" Target="https://paperpile.com/c/DMAOJn/kcRL+h3IR+4QuA+OwPR+pNym" TargetMode="External"/><Relationship Id="rId82" Type="http://schemas.openxmlformats.org/officeDocument/2006/relationships/hyperlink" Target="https://paperpile.com/c/DMAOJn/OwPR" TargetMode="External"/><Relationship Id="rId19" Type="http://schemas.openxmlformats.org/officeDocument/2006/relationships/hyperlink" Target="https://paperpile.com/c/DMAOJn/msiO+S9dp" TargetMode="External"/><Relationship Id="rId14" Type="http://schemas.openxmlformats.org/officeDocument/2006/relationships/hyperlink" Target="https://paperpile.com/c/DMAOJn/msiO+S9dp" TargetMode="External"/><Relationship Id="rId30" Type="http://schemas.openxmlformats.org/officeDocument/2006/relationships/hyperlink" Target="https://paperpile.com/c/DMAOJn/epIz+bwO9" TargetMode="External"/><Relationship Id="rId35" Type="http://schemas.openxmlformats.org/officeDocument/2006/relationships/hyperlink" Target="https://paperpile.com/c/DMAOJn/Am9b" TargetMode="External"/><Relationship Id="rId56" Type="http://schemas.openxmlformats.org/officeDocument/2006/relationships/hyperlink" Target="https://paperpile.com/c/DMAOJn/OZuM" TargetMode="External"/><Relationship Id="rId77" Type="http://schemas.openxmlformats.org/officeDocument/2006/relationships/hyperlink" Target="https://paperpile.com/c/DMAOJn/CCKm+m4VW" TargetMode="External"/><Relationship Id="rId100" Type="http://schemas.openxmlformats.org/officeDocument/2006/relationships/hyperlink" Target="https://paperpile.com/c/DMAOJn/y5yL" TargetMode="External"/><Relationship Id="rId105" Type="http://schemas.openxmlformats.org/officeDocument/2006/relationships/hyperlink" Target="https://paperpile.com/c/DMAOJn/CFE1" TargetMode="External"/><Relationship Id="rId126" Type="http://schemas.openxmlformats.org/officeDocument/2006/relationships/header" Target="header1.xml"/><Relationship Id="rId8" Type="http://schemas.openxmlformats.org/officeDocument/2006/relationships/hyperlink" Target="mailto:sr320@uw.edu" TargetMode="External"/><Relationship Id="rId51" Type="http://schemas.openxmlformats.org/officeDocument/2006/relationships/hyperlink" Target="https://paperpile.com/c/DMAOJn/CFE1+5aok" TargetMode="External"/><Relationship Id="rId72" Type="http://schemas.openxmlformats.org/officeDocument/2006/relationships/hyperlink" Target="https://paperpile.com/c/DMAOJn/CCKm+m4VW" TargetMode="External"/><Relationship Id="rId93" Type="http://schemas.openxmlformats.org/officeDocument/2006/relationships/hyperlink" Target="https://paperpile.com/c/DMAOJn/BxXn" TargetMode="External"/><Relationship Id="rId98" Type="http://schemas.openxmlformats.org/officeDocument/2006/relationships/hyperlink" Target="https://paperpile.com/c/DMAOJn/F9gB" TargetMode="External"/><Relationship Id="rId121" Type="http://schemas.openxmlformats.org/officeDocument/2006/relationships/hyperlink" Target="https://paperpile.com/c/DMAOJn/cjEU" TargetMode="External"/><Relationship Id="rId3" Type="http://schemas.openxmlformats.org/officeDocument/2006/relationships/styles" Target="styles.xml"/><Relationship Id="rId25" Type="http://schemas.openxmlformats.org/officeDocument/2006/relationships/hyperlink" Target="https://paperpile.com/c/DMAOJn/BKMB" TargetMode="External"/><Relationship Id="rId46" Type="http://schemas.openxmlformats.org/officeDocument/2006/relationships/hyperlink" Target="https://paperpile.com/c/DMAOJn/Qv70" TargetMode="External"/><Relationship Id="rId67" Type="http://schemas.openxmlformats.org/officeDocument/2006/relationships/hyperlink" Target="https://paperpile.com/c/DMAOJn/CCKm+m4VW" TargetMode="External"/><Relationship Id="rId116" Type="http://schemas.openxmlformats.org/officeDocument/2006/relationships/hyperlink" Target="https://paperpile.com/c/DMAOJn/yRoJ" TargetMode="External"/><Relationship Id="rId20" Type="http://schemas.openxmlformats.org/officeDocument/2006/relationships/hyperlink" Target="https://paperpile.com/c/DMAOJn/msiO+S9dp" TargetMode="External"/><Relationship Id="rId41" Type="http://schemas.openxmlformats.org/officeDocument/2006/relationships/hyperlink" Target="https://paperpile.com/c/DMAOJn/kQaC" TargetMode="External"/><Relationship Id="rId62" Type="http://schemas.openxmlformats.org/officeDocument/2006/relationships/hyperlink" Target="https://paperpile.com/c/DMAOJn/yDyH" TargetMode="External"/><Relationship Id="rId83" Type="http://schemas.openxmlformats.org/officeDocument/2006/relationships/hyperlink" Target="https://paperpile.com/c/DMAOJn/OwPR" TargetMode="External"/><Relationship Id="rId88" Type="http://schemas.openxmlformats.org/officeDocument/2006/relationships/hyperlink" Target="https://paperpile.com/c/DMAOJn/qEYN" TargetMode="External"/><Relationship Id="rId111" Type="http://schemas.openxmlformats.org/officeDocument/2006/relationships/hyperlink" Target="https://paperpile.com/c/DMAOJn/CFE1" TargetMode="External"/><Relationship Id="rId15" Type="http://schemas.openxmlformats.org/officeDocument/2006/relationships/hyperlink" Target="https://paperpile.com/c/DMAOJn/msiO+S9dp" TargetMode="External"/><Relationship Id="rId36" Type="http://schemas.openxmlformats.org/officeDocument/2006/relationships/hyperlink" Target="https://paperpile.com/c/DMAOJn/8fVU+T3jC+YSh9" TargetMode="External"/><Relationship Id="rId57" Type="http://schemas.openxmlformats.org/officeDocument/2006/relationships/hyperlink" Target="https://paperpile.com/c/DMAOJn/FalP" TargetMode="External"/><Relationship Id="rId106" Type="http://schemas.openxmlformats.org/officeDocument/2006/relationships/hyperlink" Target="https://paperpile.com/c/DMAOJn/5aok" TargetMode="External"/><Relationship Id="rId127" Type="http://schemas.openxmlformats.org/officeDocument/2006/relationships/footer" Target="footer1.xml"/><Relationship Id="rId10" Type="http://schemas.openxmlformats.org/officeDocument/2006/relationships/hyperlink" Target="https://paperpile.com/c/DMAOJn/ICk6+3hTC+7J6m" TargetMode="External"/><Relationship Id="rId31" Type="http://schemas.openxmlformats.org/officeDocument/2006/relationships/hyperlink" Target="https://paperpile.com/c/DMAOJn/epIz+bwO9" TargetMode="External"/><Relationship Id="rId52" Type="http://schemas.openxmlformats.org/officeDocument/2006/relationships/hyperlink" Target="https://paperpile.com/c/DMAOJn/CFE1+5aok" TargetMode="External"/><Relationship Id="rId73" Type="http://schemas.openxmlformats.org/officeDocument/2006/relationships/hyperlink" Target="https://paperpile.com/c/DMAOJn/CCKm+m4VW" TargetMode="External"/><Relationship Id="rId78" Type="http://schemas.openxmlformats.org/officeDocument/2006/relationships/hyperlink" Target="https://paperpile.com/c/DMAOJn/CCKm+m4VW" TargetMode="External"/><Relationship Id="rId94" Type="http://schemas.openxmlformats.org/officeDocument/2006/relationships/hyperlink" Target="https://paperpile.com/c/DMAOJn/sTHB" TargetMode="External"/><Relationship Id="rId99" Type="http://schemas.openxmlformats.org/officeDocument/2006/relationships/hyperlink" Target="https://paperpile.com/c/DMAOJn/XjgL" TargetMode="External"/><Relationship Id="rId101" Type="http://schemas.openxmlformats.org/officeDocument/2006/relationships/hyperlink" Target="https://paperpile.com/c/DMAOJn/y5yL" TargetMode="External"/><Relationship Id="rId122" Type="http://schemas.openxmlformats.org/officeDocument/2006/relationships/hyperlink" Target="https://paperpile.com/c/DMAOJn/N11W" TargetMode="External"/><Relationship Id="rId4" Type="http://schemas.openxmlformats.org/officeDocument/2006/relationships/settings" Target="settings.xml"/><Relationship Id="rId9" Type="http://schemas.openxmlformats.org/officeDocument/2006/relationships/hyperlink" Target="tel:206-685-3742" TargetMode="External"/><Relationship Id="rId26" Type="http://schemas.openxmlformats.org/officeDocument/2006/relationships/hyperlink" Target="https://paperpile.com/c/DMAOJn/BK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33BA8-FFAB-BB4A-B46B-448455391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43</Pages>
  <Words>11779</Words>
  <Characters>70326</Characters>
  <Application>Microsoft Office Word</Application>
  <DocSecurity>0</DocSecurity>
  <Lines>1528</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H Spencer</cp:lastModifiedBy>
  <cp:revision>6</cp:revision>
  <cp:lastPrinted>2019-10-07T22:32:00Z</cp:lastPrinted>
  <dcterms:created xsi:type="dcterms:W3CDTF">2019-11-04T18:41:00Z</dcterms:created>
  <dcterms:modified xsi:type="dcterms:W3CDTF">2019-11-04T19:51:00Z</dcterms:modified>
</cp:coreProperties>
</file>