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3B5F2" w14:textId="77777777" w:rsidR="003B3DEE" w:rsidRDefault="003B3DEE" w:rsidP="003B3DEE">
      <w:pPr>
        <w:pStyle w:val="Heading2"/>
      </w:pPr>
      <w:r>
        <w:t>Supplemental Materials</w:t>
      </w:r>
    </w:p>
    <w:p w14:paraId="5227E3C6" w14:textId="77777777" w:rsidR="003B3DEE" w:rsidRPr="003B3DEE" w:rsidRDefault="003B3DEE" w:rsidP="003B3DEE"/>
    <w:p w14:paraId="5F59FB1E" w14:textId="77777777" w:rsidR="00A741A1" w:rsidRDefault="00B84A96">
      <w:pPr>
        <w:rPr>
          <w:color w:val="434343"/>
          <w:sz w:val="28"/>
          <w:szCs w:val="28"/>
        </w:rPr>
      </w:pPr>
      <w:r>
        <w:rPr>
          <w:color w:val="434343"/>
          <w:sz w:val="28"/>
          <w:szCs w:val="28"/>
        </w:rPr>
        <w:t>Narrowed gene functions and enhanced transposon activity are associated with high tolerance to ocean acidification in a juvenile subarctic crustacean</w:t>
      </w:r>
    </w:p>
    <w:p w14:paraId="1A03A616" w14:textId="77777777" w:rsidR="00A741A1" w:rsidRDefault="00A741A1">
      <w:pPr>
        <w:rPr>
          <w:color w:val="434343"/>
          <w:sz w:val="28"/>
          <w:szCs w:val="28"/>
        </w:rPr>
      </w:pPr>
    </w:p>
    <w:p w14:paraId="19075AF5" w14:textId="77777777" w:rsidR="00A741A1" w:rsidRDefault="00B84A96">
      <w:pPr>
        <w:rPr>
          <w:vertAlign w:val="superscript"/>
        </w:rPr>
      </w:pPr>
      <w:r>
        <w:t>Laura H Spencer</w:t>
      </w:r>
      <w:r>
        <w:rPr>
          <w:vertAlign w:val="superscript"/>
        </w:rPr>
        <w:t>1</w:t>
      </w:r>
      <w:r>
        <w:t>, William Christopher Long</w:t>
      </w:r>
      <w:r>
        <w:rPr>
          <w:vertAlign w:val="superscript"/>
        </w:rPr>
        <w:t>1</w:t>
      </w:r>
      <w:r>
        <w:t>, Ingrid B Spies</w:t>
      </w:r>
      <w:r>
        <w:rPr>
          <w:vertAlign w:val="superscript"/>
        </w:rPr>
        <w:t>1</w:t>
      </w:r>
      <w:r>
        <w:t>, Krista M Nichols</w:t>
      </w:r>
      <w:r>
        <w:rPr>
          <w:vertAlign w:val="superscript"/>
        </w:rPr>
        <w:t>2</w:t>
      </w:r>
      <w:r>
        <w:t>, Robert J Foy</w:t>
      </w:r>
      <w:r>
        <w:rPr>
          <w:vertAlign w:val="superscript"/>
        </w:rPr>
        <w:t>1</w:t>
      </w:r>
    </w:p>
    <w:p w14:paraId="4A392EFD" w14:textId="77777777" w:rsidR="00A741A1" w:rsidRDefault="00A741A1">
      <w:pPr>
        <w:rPr>
          <w:vertAlign w:val="superscript"/>
        </w:rPr>
      </w:pPr>
    </w:p>
    <w:p w14:paraId="0ECC6C6A" w14:textId="77777777" w:rsidR="00A741A1" w:rsidRDefault="00B84A96">
      <w:r>
        <w:rPr>
          <w:vertAlign w:val="superscript"/>
        </w:rPr>
        <w:t xml:space="preserve">1 </w:t>
      </w:r>
      <w:r>
        <w:t>NOAA Fisheries, Alaska Fisheries Science Center, 7600 Sand Point Way NE, Seattle, WA 98115, USA</w:t>
      </w:r>
    </w:p>
    <w:p w14:paraId="5367E371" w14:textId="77777777" w:rsidR="00A741A1" w:rsidRPr="003B3DEE" w:rsidRDefault="00B84A96">
      <w:r>
        <w:rPr>
          <w:vertAlign w:val="superscript"/>
        </w:rPr>
        <w:t xml:space="preserve">2 </w:t>
      </w:r>
      <w:r>
        <w:t>Northwest Fisheries Science Center, National Marine Fisheries Service, National Oceanic and Atmospheric Administration, 2725 Montlake Blvd E, Seattle, WA, 98112, USA</w:t>
      </w:r>
    </w:p>
    <w:p w14:paraId="538D4416" w14:textId="77777777" w:rsidR="00A741A1" w:rsidRDefault="00B84A96">
      <w:r>
        <w:rPr>
          <w:noProof/>
          <w:lang w:val="en-US"/>
        </w:rPr>
        <w:lastRenderedPageBreak/>
        <w:drawing>
          <wp:anchor distT="0" distB="0" distL="0" distR="0" simplePos="0" relativeHeight="251658240" behindDoc="0" locked="0" layoutInCell="1" hidden="0" allowOverlap="1" wp14:anchorId="27BCD3E3" wp14:editId="1466B1C4">
            <wp:simplePos x="0" y="0"/>
            <wp:positionH relativeFrom="column">
              <wp:posOffset>121920</wp:posOffset>
            </wp:positionH>
            <wp:positionV relativeFrom="paragraph">
              <wp:posOffset>76200</wp:posOffset>
            </wp:positionV>
            <wp:extent cx="5196840" cy="6690360"/>
            <wp:effectExtent l="0" t="0" r="3810" b="0"/>
            <wp:wrapTopAndBottom distT="0" distB="0"/>
            <wp:docPr id="3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6840" cy="6690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79D841" w14:textId="0CA2931E" w:rsidR="00A741A1" w:rsidRDefault="00B84A96">
      <w:r>
        <w:rPr>
          <w:b/>
        </w:rPr>
        <w:t>Supplemental Figure 1:</w:t>
      </w:r>
      <w:r>
        <w:t xml:space="preserve"> Water parameters during the experiment. Temperature and pH were measured daily; salinity, dissolved inorganic carbon (DIC) and alkalinity were measured weekly</w:t>
      </w:r>
      <w:r w:rsidR="005631F9">
        <w:t>, beginning Week 2</w:t>
      </w:r>
      <w:r>
        <w:t xml:space="preserve">; all other parameters were calculated. Lines are mean values across tanks for each treatment. </w:t>
      </w:r>
    </w:p>
    <w:p w14:paraId="0A205CAB" w14:textId="77777777" w:rsidR="0029040A" w:rsidRDefault="0029040A" w:rsidP="00132E9D">
      <w:pPr>
        <w:rPr>
          <w:b/>
        </w:rPr>
      </w:pPr>
    </w:p>
    <w:p w14:paraId="6BCB86B4" w14:textId="19D269D8" w:rsidR="00132E9D" w:rsidRDefault="00132E9D" w:rsidP="00132E9D">
      <w:r>
        <w:rPr>
          <w:b/>
        </w:rPr>
        <w:t>Supplemental Table 1</w:t>
      </w:r>
      <w:r>
        <w:t xml:space="preserve">: Mean water parameters for each tank. See separate file </w:t>
      </w:r>
      <w:r w:rsidR="005631F9">
        <w:t xml:space="preserve">or </w:t>
      </w:r>
      <w:hyperlink r:id="rId7" w:history="1">
        <w:r w:rsidR="005631F9" w:rsidRPr="005631F9">
          <w:rPr>
            <w:rStyle w:val="Hyperlink"/>
          </w:rPr>
          <w:t>Supplemental-Table-1_Water-parameters-by-tank.csv</w:t>
        </w:r>
      </w:hyperlink>
    </w:p>
    <w:p w14:paraId="6D0C3072" w14:textId="77777777" w:rsidR="003B3DEE" w:rsidRDefault="003B3DEE">
      <w:pPr>
        <w:rPr>
          <w:b/>
        </w:rPr>
      </w:pPr>
      <w:bookmarkStart w:id="0" w:name="_GoBack"/>
      <w:bookmarkEnd w:id="0"/>
    </w:p>
    <w:p w14:paraId="07AB779C" w14:textId="77777777" w:rsidR="003B3DEE" w:rsidRDefault="003B3DEE">
      <w:pPr>
        <w:rPr>
          <w:b/>
        </w:rPr>
      </w:pPr>
    </w:p>
    <w:p w14:paraId="58184841" w14:textId="77777777" w:rsidR="00A741A1" w:rsidRDefault="00B84A96">
      <w:r>
        <w:rPr>
          <w:b/>
        </w:rPr>
        <w:t>Supplemental Figure 2:</w:t>
      </w:r>
      <w:r>
        <w:t xml:space="preserve"> PCA biplot of principal components 3 and 4, constructed from RNA-Seq derived SNPs (n=331). Points represent individual crabs that are color-coded by OA treatment, which do not indicate clustering by treatment, and sizes represent the percent of SNPs that are missing in each individual.</w:t>
      </w:r>
      <w:r>
        <w:rPr>
          <w:noProof/>
          <w:lang w:val="en-US"/>
        </w:rPr>
        <w:drawing>
          <wp:anchor distT="57150" distB="57150" distL="57150" distR="57150" simplePos="0" relativeHeight="251659264" behindDoc="0" locked="0" layoutInCell="1" hidden="0" allowOverlap="1" wp14:anchorId="72F199FF" wp14:editId="39ADC38F">
            <wp:simplePos x="0" y="0"/>
            <wp:positionH relativeFrom="column">
              <wp:posOffset>138113</wp:posOffset>
            </wp:positionH>
            <wp:positionV relativeFrom="paragraph">
              <wp:posOffset>152400</wp:posOffset>
            </wp:positionV>
            <wp:extent cx="5205413" cy="3197944"/>
            <wp:effectExtent l="0" t="0" r="0" b="0"/>
            <wp:wrapTopAndBottom distT="57150" distB="5715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979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98C260" w14:textId="77777777" w:rsidR="00A741A1" w:rsidRDefault="00A741A1"/>
    <w:p w14:paraId="1D65B1C5" w14:textId="77777777" w:rsidR="00A741A1" w:rsidRDefault="00A741A1"/>
    <w:p w14:paraId="6161A4B0" w14:textId="77777777" w:rsidR="00A741A1" w:rsidRDefault="00B84A96">
      <w:pPr>
        <w:pStyle w:val="Heading2"/>
        <w:rPr>
          <w:b/>
          <w:sz w:val="22"/>
          <w:szCs w:val="22"/>
        </w:rPr>
      </w:pPr>
      <w:bookmarkStart w:id="1" w:name="_dwx0grgergww" w:colFirst="0" w:colLast="0"/>
      <w:bookmarkEnd w:id="1"/>
      <w:r>
        <w:rPr>
          <w:b/>
          <w:noProof/>
          <w:sz w:val="22"/>
          <w:szCs w:val="22"/>
          <w:lang w:val="en-US"/>
        </w:rPr>
        <w:lastRenderedPageBreak/>
        <w:drawing>
          <wp:inline distT="114300" distB="114300" distL="114300" distR="114300" wp14:anchorId="5A34272E" wp14:editId="1DCFEE93">
            <wp:extent cx="5872163" cy="4758117"/>
            <wp:effectExtent l="0" t="0" r="0" b="0"/>
            <wp:docPr id="2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47581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F7D0C5" w14:textId="77777777" w:rsidR="00A741A1" w:rsidRDefault="00B84A96">
      <w:r>
        <w:rPr>
          <w:b/>
        </w:rPr>
        <w:t>Supplemental Figure 3</w:t>
      </w:r>
      <w:r>
        <w:t xml:space="preserve">: Correlation plots among SNP-derived PCA scores and gene expression-derived PCA scores along the first two principal components, with Pearson correlation coefficients and p-values calculated for each treatment. </w:t>
      </w:r>
    </w:p>
    <w:p w14:paraId="331117CB" w14:textId="77777777" w:rsidR="00A741A1" w:rsidRDefault="00A741A1">
      <w:pPr>
        <w:rPr>
          <w:b/>
        </w:rPr>
      </w:pPr>
    </w:p>
    <w:p w14:paraId="31CA94E6" w14:textId="77777777" w:rsidR="00A741A1" w:rsidRDefault="00B84A96">
      <w:r>
        <w:br w:type="page"/>
      </w:r>
    </w:p>
    <w:p w14:paraId="43BF0057" w14:textId="77777777" w:rsidR="00A741A1" w:rsidRDefault="00B84A96">
      <w:r>
        <w:rPr>
          <w:noProof/>
          <w:lang w:val="en-US"/>
        </w:rPr>
        <w:lastRenderedPageBreak/>
        <w:drawing>
          <wp:inline distT="114300" distB="114300" distL="114300" distR="114300" wp14:anchorId="4D002F3B" wp14:editId="1B20BC42">
            <wp:extent cx="5943600" cy="3403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7CD9B5" w14:textId="77777777" w:rsidR="00A741A1" w:rsidRDefault="00B84A96">
      <w:r>
        <w:rPr>
          <w:b/>
        </w:rPr>
        <w:t xml:space="preserve">Supplemental Figure 4. </w:t>
      </w:r>
      <w:r>
        <w:t xml:space="preserve">PCA biplot of principal components 3 and 4 constructed from all expressed genes. </w:t>
      </w:r>
    </w:p>
    <w:p w14:paraId="7DB8AEE5" w14:textId="77777777" w:rsidR="00A741A1" w:rsidRDefault="00B84A96">
      <w:pPr>
        <w:pStyle w:val="Heading2"/>
        <w:rPr>
          <w:b/>
          <w:sz w:val="22"/>
          <w:szCs w:val="22"/>
        </w:rPr>
      </w:pPr>
      <w:bookmarkStart w:id="2" w:name="_fd1ae0kdqg6f" w:colFirst="0" w:colLast="0"/>
      <w:bookmarkEnd w:id="2"/>
      <w:r>
        <w:br w:type="page"/>
      </w:r>
    </w:p>
    <w:p w14:paraId="311A8599" w14:textId="4D901E14" w:rsidR="00A741A1" w:rsidRDefault="00B84A96">
      <w:r>
        <w:rPr>
          <w:b/>
        </w:rPr>
        <w:lastRenderedPageBreak/>
        <w:t xml:space="preserve">Supplemental Table </w:t>
      </w:r>
      <w:r w:rsidR="008E05D4">
        <w:rPr>
          <w:b/>
        </w:rPr>
        <w:t>2</w:t>
      </w:r>
      <w:r>
        <w:rPr>
          <w:b/>
        </w:rPr>
        <w:t xml:space="preserve">: </w:t>
      </w:r>
      <w:r>
        <w:t>Statistics for modules with eigengenes that correlated significantly with pCO</w:t>
      </w:r>
      <w:r>
        <w:rPr>
          <w:vertAlign w:val="subscript"/>
        </w:rPr>
        <w:t>2</w:t>
      </w:r>
      <w:r>
        <w:t xml:space="preserve"> concentration. Modules in </w:t>
      </w:r>
      <w:r>
        <w:rPr>
          <w:color w:val="9900FF"/>
        </w:rPr>
        <w:t>purple</w:t>
      </w:r>
      <w:r>
        <w:t xml:space="preserve"> </w:t>
      </w:r>
      <w:r>
        <w:rPr>
          <w:color w:val="9900FF"/>
        </w:rPr>
        <w:t>(</w:t>
      </w:r>
      <w:r w:rsidR="00363708">
        <w:rPr>
          <w:rFonts w:ascii="Calibri" w:eastAsia="Fira Mono" w:hAnsi="Calibri" w:cs="Calibri"/>
          <w:color w:val="9900FF"/>
          <w:sz w:val="16"/>
          <w:szCs w:val="16"/>
        </w:rPr>
        <w:t>↓</w:t>
      </w:r>
      <w:r>
        <w:rPr>
          <w:color w:val="9900FF"/>
        </w:rPr>
        <w:t xml:space="preserve">) </w:t>
      </w:r>
      <w:r>
        <w:t xml:space="preserve">and </w:t>
      </w:r>
      <w:r>
        <w:rPr>
          <w:color w:val="38761D"/>
        </w:rPr>
        <w:t>green</w:t>
      </w:r>
      <w:r>
        <w:t xml:space="preserve"> </w:t>
      </w:r>
      <w:r>
        <w:rPr>
          <w:color w:val="38761D"/>
        </w:rPr>
        <w:t>(</w:t>
      </w:r>
      <w:r w:rsidR="00363708">
        <w:rPr>
          <w:rFonts w:ascii="Calibri" w:eastAsia="Fira Mono" w:hAnsi="Calibri" w:cs="Calibri"/>
          <w:color w:val="38761D"/>
          <w:sz w:val="16"/>
          <w:szCs w:val="16"/>
        </w:rPr>
        <w:t>↑</w:t>
      </w:r>
      <w:r>
        <w:rPr>
          <w:color w:val="38761D"/>
        </w:rPr>
        <w:t>)</w:t>
      </w:r>
      <w:r>
        <w:t xml:space="preserve"> indicate modules for which gene expression decreased and increased with pCO</w:t>
      </w:r>
      <w:r>
        <w:rPr>
          <w:vertAlign w:val="subscript"/>
        </w:rPr>
        <w:t>2</w:t>
      </w:r>
      <w:r>
        <w:t xml:space="preserve">, respectively. The percent of genes that were transposable elements are also included for each module. Modules are randomly assigned color names, and the letters correspond to Figure 5 panels in the main text. </w:t>
      </w:r>
    </w:p>
    <w:tbl>
      <w:tblPr>
        <w:tblStyle w:val="a3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45"/>
        <w:gridCol w:w="1020"/>
        <w:gridCol w:w="1935"/>
        <w:gridCol w:w="1620"/>
        <w:gridCol w:w="1620"/>
        <w:gridCol w:w="1500"/>
      </w:tblGrid>
      <w:tr w:rsidR="00A741A1" w14:paraId="016E44B9" w14:textId="77777777">
        <w:trPr>
          <w:trHeight w:val="819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84028A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Module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625EAC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D6AD98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genes in module that are also differentially expressed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CE9A80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Weighted Pearson correlation with pCO</w:t>
            </w:r>
            <w:r>
              <w:rPr>
                <w:b/>
                <w:sz w:val="18"/>
                <w:szCs w:val="18"/>
                <w:vertAlign w:val="subscript"/>
              </w:rPr>
              <w:t>2</w:t>
            </w:r>
            <w:r>
              <w:rPr>
                <w:b/>
                <w:sz w:val="18"/>
                <w:szCs w:val="18"/>
              </w:rPr>
              <w:t xml:space="preserve"> (P-value)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0A0B2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Transposable Elements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9905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No. of enriched biological process GO terms at EASE&lt;0.05</w:t>
            </w:r>
          </w:p>
          <w:p w14:paraId="6201FDB0" w14:textId="77777777" w:rsidR="00A741A1" w:rsidRDefault="00B84A96">
            <w:pPr>
              <w:widowControl w:val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(FDR 10%)</w:t>
            </w:r>
          </w:p>
        </w:tc>
      </w:tr>
      <w:tr w:rsidR="00A741A1" w14:paraId="06B2FDBA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4F2360" w14:textId="5EF4B17A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a (magenta)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D269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6,602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8E58E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1,280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F48A6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-0.52 (4.5e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-4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6E6304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45%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962E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43 (11)</w:t>
            </w:r>
          </w:p>
        </w:tc>
      </w:tr>
      <w:tr w:rsidR="00A741A1" w14:paraId="3DA1C759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BC6D96" w14:textId="588A569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b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lightcyan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C4E2F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4,169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44F96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1,171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2090B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-0.45 (2.9e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5C0A4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39%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032B5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60 (31)</w:t>
            </w:r>
          </w:p>
        </w:tc>
      </w:tr>
      <w:tr w:rsidR="00A741A1" w14:paraId="5A249004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698404" w14:textId="0B145869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c (firebrick4)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FA496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1,573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DE8D8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E8126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-0.39 (9.7e</w:t>
            </w:r>
            <w:r w:rsidRPr="00C36B3F">
              <w:rPr>
                <w:color w:val="9900FF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9900FF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64F76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F3202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 (0)</w:t>
            </w:r>
          </w:p>
        </w:tc>
      </w:tr>
      <w:tr w:rsidR="00A741A1" w14:paraId="78C6B3A7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B5D739" w14:textId="0B34E3D6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d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darkviolet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0E838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92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D848A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68FA0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-0.37 (0.016)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4BB41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23%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85A8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 (4)</w:t>
            </w:r>
          </w:p>
        </w:tc>
      </w:tr>
      <w:tr w:rsidR="00A741A1" w14:paraId="6B04D1C8" w14:textId="77777777">
        <w:trPr>
          <w:trHeight w:val="286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E7051A" w14:textId="55497B4A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>e (</w:t>
            </w:r>
            <w:proofErr w:type="spellStart"/>
            <w:r w:rsidRPr="00C36B3F">
              <w:rPr>
                <w:rFonts w:eastAsia="Fira Mono"/>
                <w:color w:val="9900FF"/>
                <w:sz w:val="16"/>
                <w:szCs w:val="16"/>
              </w:rPr>
              <w:t>royalblue</w:t>
            </w:r>
            <w:proofErr w:type="spellEnd"/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BA4F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46E9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197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02C4E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-0.36 (0.019)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47F70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32%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DCBB28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19 (3)</w:t>
            </w:r>
          </w:p>
        </w:tc>
      </w:tr>
      <w:tr w:rsidR="00A741A1" w14:paraId="016D80CE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F0E75C" w14:textId="7E4B733C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f (coral1)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E8781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162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3984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21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0646D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-0.34 (0.028)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D89EE3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40%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4632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 (0)</w:t>
            </w:r>
          </w:p>
        </w:tc>
      </w:tr>
      <w:tr w:rsidR="00A741A1" w14:paraId="397BC291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F30EF0" w14:textId="5F136C0F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g (plum1)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90FE8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449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826C12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40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8CA40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-0.31 (0.042)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F3DFAD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D8D54E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 (1)</w:t>
            </w:r>
          </w:p>
        </w:tc>
      </w:tr>
      <w:tr w:rsidR="00A741A1" w14:paraId="2EFD3EC7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E3F51D" w14:textId="3DB8EFE4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rFonts w:eastAsia="Fira Mono"/>
                <w:color w:val="9900FF"/>
                <w:sz w:val="16"/>
                <w:szCs w:val="16"/>
              </w:rPr>
              <w:t xml:space="preserve">h (pink)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33F3B77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8,245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D92D95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980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B66F7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-0.30 (0.049)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DE1261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63%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73BBEC" w14:textId="77777777" w:rsidR="00A741A1" w:rsidRPr="00C36B3F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 w:rsidRPr="00C36B3F">
              <w:rPr>
                <w:color w:val="9900FF"/>
                <w:sz w:val="16"/>
                <w:szCs w:val="16"/>
              </w:rPr>
              <w:t>50 (15)</w:t>
            </w:r>
          </w:p>
        </w:tc>
      </w:tr>
      <w:tr w:rsidR="00A741A1" w14:paraId="530C62EF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5E1D74" w14:textId="74967D1A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proofErr w:type="spellStart"/>
            <w:r w:rsidRPr="00C36B3F">
              <w:rPr>
                <w:rFonts w:eastAsia="Fira Mono"/>
                <w:color w:val="38761D"/>
                <w:sz w:val="16"/>
                <w:szCs w:val="16"/>
              </w:rPr>
              <w:t>i</w:t>
            </w:r>
            <w:proofErr w:type="spellEnd"/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 (blue2)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99CB7B7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96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40D9B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16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EEE4E4E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0.36 (0.018)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3EB89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92%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3D344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</w:t>
            </w:r>
          </w:p>
        </w:tc>
      </w:tr>
      <w:tr w:rsidR="00A741A1" w14:paraId="4B5A87C9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3C597F" w14:textId="429B8705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j (lightsteelblue1)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421B7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306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24F5F5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20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FC7B4B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0.42 (5.4e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12A41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53%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2D066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 (0)</w:t>
            </w:r>
          </w:p>
        </w:tc>
      </w:tr>
      <w:tr w:rsidR="00A741A1" w14:paraId="642F34D2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B180DF9" w14:textId="4C5AE9C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k (ivory)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DCEF2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301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ED7EB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84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E5A2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0.44 (3.4e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14F60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43%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2EB05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(0)</w:t>
            </w:r>
          </w:p>
        </w:tc>
      </w:tr>
      <w:tr w:rsidR="00A741A1" w14:paraId="0CB91FF3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0A3FDF" w14:textId="3AD050DF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>l (</w:t>
            </w:r>
            <w:proofErr w:type="spellStart"/>
            <w:r w:rsidRPr="00C36B3F">
              <w:rPr>
                <w:rFonts w:eastAsia="Fira Mono"/>
                <w:color w:val="38761D"/>
                <w:sz w:val="16"/>
                <w:szCs w:val="16"/>
              </w:rPr>
              <w:t>lightgreen</w:t>
            </w:r>
            <w:proofErr w:type="spellEnd"/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4110D9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7,080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302F94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515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9DE39C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0.45 (2.7e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319CE8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76%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5D4F5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(4)</w:t>
            </w:r>
          </w:p>
        </w:tc>
      </w:tr>
      <w:tr w:rsidR="00A741A1" w14:paraId="713CC53E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0B61A7" w14:textId="036ACD16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m (purple)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AE1C3D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2,862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7DF81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328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A3A9CE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0.46 (2.1e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-3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B60BB1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77%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EB7D8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7 (4)</w:t>
            </w:r>
          </w:p>
        </w:tc>
      </w:tr>
      <w:tr w:rsidR="00A741A1" w14:paraId="78350F1C" w14:textId="77777777">
        <w:trPr>
          <w:trHeight w:val="300"/>
        </w:trPr>
        <w:tc>
          <w:tcPr>
            <w:tcW w:w="154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67C3C0" w14:textId="486A22E2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rFonts w:eastAsia="Fira Mono"/>
                <w:color w:val="38761D"/>
                <w:sz w:val="16"/>
                <w:szCs w:val="16"/>
              </w:rPr>
              <w:t xml:space="preserve">n (green)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</w:tc>
        <w:tc>
          <w:tcPr>
            <w:tcW w:w="10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CD69B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8,603</w:t>
            </w:r>
          </w:p>
        </w:tc>
        <w:tc>
          <w:tcPr>
            <w:tcW w:w="193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CE6C6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1,453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0DFF63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0.50 (6.6e</w:t>
            </w:r>
            <w:r w:rsidRPr="00C36B3F">
              <w:rPr>
                <w:color w:val="38761D"/>
                <w:sz w:val="16"/>
                <w:szCs w:val="16"/>
                <w:vertAlign w:val="superscript"/>
              </w:rPr>
              <w:t>-4</w:t>
            </w:r>
            <w:r w:rsidRPr="00C36B3F">
              <w:rPr>
                <w:color w:val="38761D"/>
                <w:sz w:val="16"/>
                <w:szCs w:val="16"/>
              </w:rPr>
              <w:t>)</w:t>
            </w:r>
          </w:p>
        </w:tc>
        <w:tc>
          <w:tcPr>
            <w:tcW w:w="162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0B616A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68%</w:t>
            </w:r>
          </w:p>
        </w:tc>
        <w:tc>
          <w:tcPr>
            <w:tcW w:w="150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A5016F" w14:textId="77777777" w:rsidR="00A741A1" w:rsidRPr="00C36B3F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 w:rsidRPr="00C36B3F">
              <w:rPr>
                <w:color w:val="38761D"/>
                <w:sz w:val="16"/>
                <w:szCs w:val="16"/>
              </w:rPr>
              <w:t>13 (2)</w:t>
            </w:r>
          </w:p>
        </w:tc>
      </w:tr>
    </w:tbl>
    <w:p w14:paraId="269194E4" w14:textId="77777777" w:rsidR="00A741A1" w:rsidRDefault="00A741A1"/>
    <w:p w14:paraId="3A09C213" w14:textId="7C639782" w:rsidR="00A741A1" w:rsidRDefault="00B84A96">
      <w:r>
        <w:rPr>
          <w:b/>
        </w:rPr>
        <w:t xml:space="preserve">Supplemental Table </w:t>
      </w:r>
      <w:r w:rsidR="008E05D4">
        <w:rPr>
          <w:b/>
        </w:rPr>
        <w:t>3</w:t>
      </w:r>
      <w:r>
        <w:rPr>
          <w:b/>
        </w:rPr>
        <w:t xml:space="preserve">: </w:t>
      </w:r>
      <w:r>
        <w:t xml:space="preserve">Number of differentially expressed genes and enriched GO terms by pairwise treatment contrast. Colors and arrows indicate the number of DEGs and GO terms that were </w:t>
      </w:r>
      <w:r>
        <w:rPr>
          <w:color w:val="38761D"/>
        </w:rPr>
        <w:t>upregulated (</w:t>
      </w:r>
      <w:r w:rsidR="005631F9">
        <w:rPr>
          <w:rFonts w:ascii="Calibri" w:eastAsia="Fira Mono" w:hAnsi="Calibri" w:cs="Calibri"/>
          <w:color w:val="38761D"/>
          <w:sz w:val="16"/>
          <w:szCs w:val="16"/>
        </w:rPr>
        <w:t>↑</w:t>
      </w:r>
      <w:r>
        <w:rPr>
          <w:color w:val="38761D"/>
        </w:rPr>
        <w:t xml:space="preserve">) </w:t>
      </w:r>
      <w:r>
        <w:t xml:space="preserve">and </w:t>
      </w:r>
      <w:r>
        <w:rPr>
          <w:color w:val="9900FF"/>
        </w:rPr>
        <w:t>downregulated</w:t>
      </w:r>
      <w:r>
        <w:rPr>
          <w:rFonts w:ascii="Fira Mono" w:eastAsia="Fira Mono" w:hAnsi="Fira Mono" w:cs="Fira Mono"/>
          <w:color w:val="9900FF"/>
          <w:sz w:val="16"/>
          <w:szCs w:val="16"/>
        </w:rPr>
        <w:t xml:space="preserve"> (</w:t>
      </w:r>
      <w:r w:rsidR="005631F9">
        <w:rPr>
          <w:rFonts w:ascii="Calibri" w:eastAsia="Fira Mono" w:hAnsi="Calibri" w:cs="Calibri"/>
          <w:color w:val="9900FF"/>
          <w:sz w:val="16"/>
          <w:szCs w:val="16"/>
        </w:rPr>
        <w:t>↓</w:t>
      </w:r>
      <w:r>
        <w:rPr>
          <w:rFonts w:ascii="Fira Mono" w:eastAsia="Fira Mono" w:hAnsi="Fira Mono" w:cs="Fira Mono"/>
          <w:color w:val="9900FF"/>
          <w:sz w:val="16"/>
          <w:szCs w:val="16"/>
        </w:rPr>
        <w:t>)</w:t>
      </w:r>
      <w:r>
        <w:rPr>
          <w:color w:val="980000"/>
        </w:rPr>
        <w:t xml:space="preserve"> </w:t>
      </w:r>
      <w:r>
        <w:t xml:space="preserve">in the more severe OA treatment, where ambient = pH 8.0, moderate = pH 7.8, and severe = pH 7.5.  </w:t>
      </w:r>
    </w:p>
    <w:tbl>
      <w:tblPr>
        <w:tblStyle w:val="a4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680"/>
        <w:gridCol w:w="810"/>
        <w:gridCol w:w="1755"/>
        <w:gridCol w:w="1710"/>
        <w:gridCol w:w="1815"/>
        <w:gridCol w:w="1605"/>
      </w:tblGrid>
      <w:tr w:rsidR="00A741A1" w14:paraId="0CC6F734" w14:textId="77777777">
        <w:trPr>
          <w:trHeight w:val="345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67252D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OA treatment contrast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09F3C2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DEGs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D92D18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Biological Processes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3E6D6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No. of </w:t>
            </w:r>
            <w:proofErr w:type="gramStart"/>
            <w:r>
              <w:rPr>
                <w:sz w:val="18"/>
                <w:szCs w:val="18"/>
              </w:rPr>
              <w:t>enriched  Molecular</w:t>
            </w:r>
            <w:proofErr w:type="gramEnd"/>
            <w:r>
              <w:rPr>
                <w:sz w:val="18"/>
                <w:szCs w:val="18"/>
              </w:rPr>
              <w:t xml:space="preserve"> Functions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B4F8C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No. of enriched Cellular Components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878359" w14:textId="77777777" w:rsidR="00A741A1" w:rsidRDefault="00B84A96">
            <w:pPr>
              <w:widowControl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% Transposable Elements</w:t>
            </w:r>
          </w:p>
        </w:tc>
      </w:tr>
      <w:tr w:rsidR="00A741A1" w14:paraId="0425514A" w14:textId="77777777">
        <w:trPr>
          <w:trHeight w:val="286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0641C2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Moderate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158E56" w14:textId="1FDBC2AD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526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D02516E" w14:textId="3047AA3A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933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FAE125" w14:textId="400E2759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9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7F9C2FC4" w14:textId="126A1636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23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E15E8D" w14:textId="299110E1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7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1F513E0" w14:textId="059796F4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18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084B3F" w14:textId="338DB544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33B85AE" w14:textId="0332329C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16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843D3A" w14:textId="3DA7826D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51.4%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52DABD1" w14:textId="29F04385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30.6%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</w:tr>
      <w:tr w:rsidR="00A741A1" w14:paraId="295B23DF" w14:textId="77777777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AC27A0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Ambient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78F141" w14:textId="35C03BA4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2,350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7BCC1311" w14:textId="4B175A63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3,907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0465D1" w14:textId="2F6D43D6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6C2D978" w14:textId="3B9994C0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81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1DA291" w14:textId="10043F8B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10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57F26393" w14:textId="27C367E5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47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E2E283" w14:textId="01F1A465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1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0318627B" w14:textId="2F2EA3DD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29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86C693" w14:textId="584E0098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64.5%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227CD098" w14:textId="2003707D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27.7%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</w:tr>
      <w:tr w:rsidR="00A741A1" w14:paraId="548F7C72" w14:textId="77777777">
        <w:trPr>
          <w:trHeight w:val="300"/>
        </w:trPr>
        <w:tc>
          <w:tcPr>
            <w:tcW w:w="168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87BF4E2" w14:textId="77777777" w:rsidR="00A741A1" w:rsidRDefault="00B84A96">
            <w:pPr>
              <w:widowControl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Moderate vs Severe</w:t>
            </w:r>
          </w:p>
        </w:tc>
        <w:tc>
          <w:tcPr>
            <w:tcW w:w="8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6E57E5" w14:textId="29CE2D24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22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22EC535" w14:textId="674CC0E8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25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5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05401" w14:textId="07D6B3FB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3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7FB3645B" w14:textId="3FE672D7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2 </w:t>
            </w:r>
            <w:r w:rsidR="005631F9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710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1DE787" w14:textId="2A843EA0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5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3647F23F" w14:textId="4CFBA5C1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0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81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252A51" w14:textId="60BBAE88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0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09D50739" w14:textId="61ACB146" w:rsidR="00A741A1" w:rsidRDefault="00B84A96">
            <w:pPr>
              <w:widowControl w:val="0"/>
              <w:jc w:val="center"/>
              <w:rPr>
                <w:i/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0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  <w:tc>
          <w:tcPr>
            <w:tcW w:w="1605" w:type="dxa"/>
            <w:tcBorders>
              <w:top w:val="single" w:sz="7" w:space="0" w:color="CCCCCC"/>
              <w:left w:val="single" w:sz="7" w:space="0" w:color="CCCCCC"/>
              <w:bottom w:val="single" w:sz="7" w:space="0" w:color="CCCCCC"/>
              <w:right w:val="single" w:sz="7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82C61D" w14:textId="2F9146AE" w:rsidR="00A741A1" w:rsidRDefault="00B84A96">
            <w:pPr>
              <w:widowControl w:val="0"/>
              <w:jc w:val="center"/>
              <w:rPr>
                <w:color w:val="38761D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38761D"/>
                <w:sz w:val="16"/>
                <w:szCs w:val="16"/>
              </w:rPr>
              <w:t xml:space="preserve">85.7% </w:t>
            </w:r>
            <w:r w:rsidR="005631F9">
              <w:rPr>
                <w:rFonts w:ascii="Calibri" w:eastAsia="Fira Mono" w:hAnsi="Calibri" w:cs="Calibri"/>
                <w:color w:val="38761D"/>
                <w:sz w:val="16"/>
                <w:szCs w:val="16"/>
              </w:rPr>
              <w:t>↑</w:t>
            </w:r>
          </w:p>
          <w:p w14:paraId="4FF7128D" w14:textId="6086B724" w:rsidR="00A741A1" w:rsidRDefault="00B84A96">
            <w:pPr>
              <w:widowControl w:val="0"/>
              <w:jc w:val="center"/>
              <w:rPr>
                <w:color w:val="9900FF"/>
                <w:sz w:val="16"/>
                <w:szCs w:val="16"/>
              </w:rPr>
            </w:pPr>
            <w:r>
              <w:rPr>
                <w:rFonts w:ascii="Fira Mono" w:eastAsia="Fira Mono" w:hAnsi="Fira Mono" w:cs="Fira Mono"/>
                <w:color w:val="9900FF"/>
                <w:sz w:val="16"/>
                <w:szCs w:val="16"/>
              </w:rPr>
              <w:t xml:space="preserve">12.5% </w:t>
            </w:r>
            <w:r w:rsidR="00363708">
              <w:rPr>
                <w:rFonts w:ascii="Calibri" w:eastAsia="Fira Mono" w:hAnsi="Calibri" w:cs="Calibri"/>
                <w:color w:val="9900FF"/>
                <w:sz w:val="16"/>
                <w:szCs w:val="16"/>
              </w:rPr>
              <w:t>↓</w:t>
            </w:r>
          </w:p>
        </w:tc>
      </w:tr>
    </w:tbl>
    <w:p w14:paraId="3481BFBE" w14:textId="77777777" w:rsidR="00C36B3F" w:rsidRDefault="00C36B3F">
      <w:pPr>
        <w:rPr>
          <w:b/>
        </w:rPr>
      </w:pPr>
      <w:r>
        <w:rPr>
          <w:b/>
        </w:rPr>
        <w:br w:type="page"/>
      </w:r>
    </w:p>
    <w:p w14:paraId="3D0F4503" w14:textId="6162BFF7" w:rsidR="00A741A1" w:rsidRDefault="00B84A96">
      <w:r>
        <w:rPr>
          <w:b/>
        </w:rPr>
        <w:lastRenderedPageBreak/>
        <w:t xml:space="preserve">Supplemental Table </w:t>
      </w:r>
      <w:r w:rsidR="008E05D4">
        <w:rPr>
          <w:b/>
        </w:rPr>
        <w:t>4</w:t>
      </w:r>
      <w:r>
        <w:t>:</w:t>
      </w:r>
      <w:r w:rsidR="000E6093">
        <w:t xml:space="preserve"> See separate file or</w:t>
      </w:r>
      <w:r>
        <w:t xml:space="preserve"> </w:t>
      </w:r>
      <w:hyperlink r:id="rId11">
        <w:r>
          <w:rPr>
            <w:color w:val="1155CC"/>
            <w:u w:val="single"/>
          </w:rPr>
          <w:t>Enrichment results from WGCNA modules</w:t>
        </w:r>
      </w:hyperlink>
    </w:p>
    <w:p w14:paraId="0DD74D99" w14:textId="41E3AF59" w:rsidR="00A741A1" w:rsidRDefault="00B84A96">
      <w:r>
        <w:rPr>
          <w:b/>
        </w:rPr>
        <w:t xml:space="preserve">Supplemental Table </w:t>
      </w:r>
      <w:r w:rsidR="008E05D4">
        <w:rPr>
          <w:b/>
        </w:rPr>
        <w:t>5</w:t>
      </w:r>
      <w:r>
        <w:t xml:space="preserve">: </w:t>
      </w:r>
      <w:r w:rsidR="000E6093">
        <w:t xml:space="preserve">See separate file or </w:t>
      </w:r>
      <w:hyperlink r:id="rId12">
        <w:r>
          <w:rPr>
            <w:color w:val="1155CC"/>
            <w:u w:val="single"/>
          </w:rPr>
          <w:t>Enrichment results from DEG analysis</w:t>
        </w:r>
      </w:hyperlink>
      <w:r>
        <w:t xml:space="preserve"> </w:t>
      </w:r>
    </w:p>
    <w:p w14:paraId="17C8A154" w14:textId="3CCDB3B9" w:rsidR="00A741A1" w:rsidRDefault="00B84A96">
      <w:r>
        <w:rPr>
          <w:b/>
        </w:rPr>
        <w:t xml:space="preserve">Supplemental Table </w:t>
      </w:r>
      <w:r w:rsidR="008E05D4">
        <w:rPr>
          <w:b/>
        </w:rPr>
        <w:t>6</w:t>
      </w:r>
      <w:r>
        <w:t xml:space="preserve">: </w:t>
      </w:r>
      <w:r w:rsidR="000E6093">
        <w:t xml:space="preserve">See separate file or </w:t>
      </w:r>
      <w:hyperlink r:id="rId13">
        <w:r>
          <w:rPr>
            <w:color w:val="1155CC"/>
            <w:u w:val="single"/>
          </w:rPr>
          <w:t>Enrichment results from upregulated low-variance genes</w:t>
        </w:r>
      </w:hyperlink>
    </w:p>
    <w:p w14:paraId="06E1D695" w14:textId="27B0BFBD" w:rsidR="00A741A1" w:rsidRDefault="00B84A96">
      <w:r>
        <w:rPr>
          <w:b/>
        </w:rPr>
        <w:t xml:space="preserve">Supplemental Table </w:t>
      </w:r>
      <w:r w:rsidR="008E05D4">
        <w:rPr>
          <w:b/>
        </w:rPr>
        <w:t>7</w:t>
      </w:r>
      <w:r>
        <w:rPr>
          <w:b/>
        </w:rPr>
        <w:t>:</w:t>
      </w:r>
      <w:r>
        <w:t xml:space="preserve"> </w:t>
      </w:r>
      <w:r w:rsidR="000E6093">
        <w:t xml:space="preserve">See separate file or </w:t>
      </w:r>
      <w:hyperlink r:id="rId14">
        <w:r>
          <w:rPr>
            <w:color w:val="1155CC"/>
            <w:u w:val="single"/>
          </w:rPr>
          <w:t xml:space="preserve">Transposable elements detected, list of 68 unique </w:t>
        </w:r>
        <w:proofErr w:type="spellStart"/>
        <w:r>
          <w:rPr>
            <w:color w:val="1155CC"/>
            <w:u w:val="single"/>
          </w:rPr>
          <w:t>Uniprot</w:t>
        </w:r>
        <w:proofErr w:type="spellEnd"/>
        <w:r>
          <w:rPr>
            <w:color w:val="1155CC"/>
            <w:u w:val="single"/>
          </w:rPr>
          <w:t xml:space="preserve"> IDs</w:t>
        </w:r>
      </w:hyperlink>
      <w:r>
        <w:t xml:space="preserve"> </w:t>
      </w:r>
    </w:p>
    <w:p w14:paraId="0FAD18AA" w14:textId="77777777" w:rsidR="000E6093" w:rsidRDefault="000E6093"/>
    <w:p w14:paraId="20F1B50C" w14:textId="3A411762" w:rsidR="00A741A1" w:rsidRDefault="00B84A96">
      <w:pPr>
        <w:rPr>
          <w:sz w:val="21"/>
          <w:szCs w:val="21"/>
        </w:rPr>
      </w:pPr>
      <w:r>
        <w:rPr>
          <w:b/>
          <w:sz w:val="21"/>
          <w:szCs w:val="21"/>
        </w:rPr>
        <w:t xml:space="preserve">Supplemental Table </w:t>
      </w:r>
      <w:r w:rsidR="008E05D4">
        <w:rPr>
          <w:b/>
          <w:sz w:val="21"/>
          <w:szCs w:val="21"/>
        </w:rPr>
        <w:t>8</w:t>
      </w:r>
      <w:r>
        <w:rPr>
          <w:sz w:val="21"/>
          <w:szCs w:val="21"/>
        </w:rPr>
        <w:t xml:space="preserve">: Percent of genes differentially expressed among pairwise contrasts that map to transposable elements. Colors indicate genes that were more active in </w:t>
      </w:r>
      <w:r>
        <w:rPr>
          <w:color w:val="0B5394"/>
          <w:sz w:val="21"/>
          <w:szCs w:val="21"/>
        </w:rPr>
        <w:t>ambient (blue)</w:t>
      </w:r>
      <w:r>
        <w:rPr>
          <w:sz w:val="21"/>
          <w:szCs w:val="21"/>
        </w:rPr>
        <w:t xml:space="preserve">, </w:t>
      </w:r>
      <w:r>
        <w:rPr>
          <w:color w:val="E69138"/>
          <w:sz w:val="21"/>
          <w:szCs w:val="21"/>
        </w:rPr>
        <w:t>moderate OA (orange)</w:t>
      </w:r>
      <w:r>
        <w:rPr>
          <w:sz w:val="21"/>
          <w:szCs w:val="21"/>
        </w:rPr>
        <w:t xml:space="preserve">, and </w:t>
      </w:r>
      <w:r>
        <w:rPr>
          <w:color w:val="CC0000"/>
          <w:sz w:val="21"/>
          <w:szCs w:val="21"/>
        </w:rPr>
        <w:t>severe OA (red)</w:t>
      </w:r>
      <w:r>
        <w:rPr>
          <w:sz w:val="21"/>
          <w:szCs w:val="21"/>
        </w:rPr>
        <w:t xml:space="preserve"> treatments in each pairwise comparison. Values below the dotted line indicate the % of upregulated genes with low within-treatment variation (CV &lt; 3%) that were TEs. </w:t>
      </w:r>
    </w:p>
    <w:tbl>
      <w:tblPr>
        <w:tblStyle w:val="a5"/>
        <w:tblW w:w="7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70"/>
        <w:gridCol w:w="990"/>
        <w:gridCol w:w="1050"/>
        <w:gridCol w:w="840"/>
      </w:tblGrid>
      <w:tr w:rsidR="00A741A1" w14:paraId="1462D70D" w14:textId="77777777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BB598F" w14:textId="77777777" w:rsidR="00A741A1" w:rsidRDefault="00A741A1">
            <w:pPr>
              <w:widowControl w:val="0"/>
              <w:spacing w:line="240" w:lineRule="auto"/>
            </w:pP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7567B8BC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Ambient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2726F2D1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Moderate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3C4043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bottom"/>
          </w:tcPr>
          <w:p w14:paraId="1C3E12C5" w14:textId="77777777" w:rsidR="00A741A1" w:rsidRDefault="00B84A96">
            <w:pPr>
              <w:widowControl w:val="0"/>
              <w:spacing w:line="240" w:lineRule="auto"/>
              <w:jc w:val="center"/>
            </w:pPr>
            <w:r>
              <w:t>Severe</w:t>
            </w:r>
          </w:p>
        </w:tc>
      </w:tr>
      <w:tr w:rsidR="00A741A1" w14:paraId="23286DB6" w14:textId="77777777">
        <w:trPr>
          <w:trHeight w:val="309"/>
        </w:trPr>
        <w:tc>
          <w:tcPr>
            <w:tcW w:w="417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E0CC24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Ambient</w:t>
            </w:r>
          </w:p>
        </w:tc>
        <w:tc>
          <w:tcPr>
            <w:tcW w:w="99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1044052" w14:textId="77777777" w:rsidR="00A741A1" w:rsidRDefault="00A741A1">
            <w:pPr>
              <w:widowControl w:val="0"/>
              <w:spacing w:line="240" w:lineRule="auto"/>
              <w:jc w:val="center"/>
            </w:pPr>
          </w:p>
        </w:tc>
        <w:tc>
          <w:tcPr>
            <w:tcW w:w="105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B2448F5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51%</w:t>
            </w:r>
          </w:p>
        </w:tc>
        <w:tc>
          <w:tcPr>
            <w:tcW w:w="840" w:type="dxa"/>
            <w:tcBorders>
              <w:top w:val="single" w:sz="8" w:space="0" w:color="3C4043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0F9733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65%</w:t>
            </w:r>
          </w:p>
        </w:tc>
      </w:tr>
      <w:tr w:rsidR="00A741A1" w14:paraId="730019CF" w14:textId="77777777">
        <w:trPr>
          <w:trHeight w:val="330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105A9BE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Moderate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314DDAEE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31%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12D4AE70" w14:textId="77777777" w:rsidR="00A741A1" w:rsidRDefault="00A741A1">
            <w:pPr>
              <w:widowControl w:val="0"/>
              <w:spacing w:line="240" w:lineRule="auto"/>
              <w:jc w:val="center"/>
              <w:rPr>
                <w:color w:val="CC0000"/>
              </w:rPr>
            </w:pP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434A73A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86%</w:t>
            </w:r>
          </w:p>
        </w:tc>
      </w:tr>
      <w:tr w:rsidR="00A741A1" w14:paraId="3F034800" w14:textId="77777777">
        <w:trPr>
          <w:trHeight w:val="309"/>
        </w:trPr>
        <w:tc>
          <w:tcPr>
            <w:tcW w:w="417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5EB0DD0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>Severe OA</w:t>
            </w:r>
          </w:p>
        </w:tc>
        <w:tc>
          <w:tcPr>
            <w:tcW w:w="99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57DC8E5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28%</w:t>
            </w:r>
          </w:p>
        </w:tc>
        <w:tc>
          <w:tcPr>
            <w:tcW w:w="105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4590B4FC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13%</w:t>
            </w:r>
          </w:p>
        </w:tc>
        <w:tc>
          <w:tcPr>
            <w:tcW w:w="840" w:type="dxa"/>
            <w:tcBorders>
              <w:top w:val="single" w:sz="8" w:space="0" w:color="FFFFFF"/>
              <w:left w:val="single" w:sz="8" w:space="0" w:color="FFFFFF"/>
              <w:bottom w:val="dashed" w:sz="8" w:space="0" w:color="000000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B7BFF70" w14:textId="77777777" w:rsidR="00A741A1" w:rsidRDefault="00A741A1">
            <w:pPr>
              <w:widowControl w:val="0"/>
              <w:spacing w:line="240" w:lineRule="auto"/>
              <w:jc w:val="center"/>
            </w:pPr>
          </w:p>
        </w:tc>
      </w:tr>
      <w:tr w:rsidR="00A741A1" w14:paraId="54F2CA8C" w14:textId="77777777">
        <w:trPr>
          <w:trHeight w:val="309"/>
        </w:trPr>
        <w:tc>
          <w:tcPr>
            <w:tcW w:w="417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BEDF972" w14:textId="77777777" w:rsidR="00A741A1" w:rsidRDefault="00B84A96">
            <w:pPr>
              <w:widowControl w:val="0"/>
              <w:spacing w:line="240" w:lineRule="auto"/>
              <w:jc w:val="right"/>
            </w:pPr>
            <w:r>
              <w:t xml:space="preserve">Upregulated with low variance (CV&lt; 3%) </w:t>
            </w:r>
          </w:p>
        </w:tc>
        <w:tc>
          <w:tcPr>
            <w:tcW w:w="99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3877542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0B5394"/>
              </w:rPr>
            </w:pPr>
            <w:r>
              <w:rPr>
                <w:color w:val="0B5394"/>
              </w:rPr>
              <w:t>16%</w:t>
            </w:r>
          </w:p>
        </w:tc>
        <w:tc>
          <w:tcPr>
            <w:tcW w:w="105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2EAA6614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E69138"/>
              </w:rPr>
            </w:pPr>
            <w:r>
              <w:rPr>
                <w:color w:val="E69138"/>
              </w:rPr>
              <w:t>50%</w:t>
            </w:r>
          </w:p>
        </w:tc>
        <w:tc>
          <w:tcPr>
            <w:tcW w:w="840" w:type="dxa"/>
            <w:tcBorders>
              <w:top w:val="dashed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5A1AE5E8" w14:textId="77777777" w:rsidR="00A741A1" w:rsidRDefault="00B84A96">
            <w:pPr>
              <w:widowControl w:val="0"/>
              <w:spacing w:line="240" w:lineRule="auto"/>
              <w:jc w:val="center"/>
              <w:rPr>
                <w:color w:val="CC0000"/>
              </w:rPr>
            </w:pPr>
            <w:r>
              <w:rPr>
                <w:color w:val="CC0000"/>
              </w:rPr>
              <w:t>60%</w:t>
            </w:r>
          </w:p>
        </w:tc>
      </w:tr>
    </w:tbl>
    <w:p w14:paraId="4AEFCB24" w14:textId="6E0B8F51" w:rsidR="00294839" w:rsidRDefault="00294839">
      <w:bookmarkStart w:id="3" w:name="_et16rz4m9lt0" w:colFirst="0" w:colLast="0"/>
      <w:bookmarkEnd w:id="3"/>
    </w:p>
    <w:p w14:paraId="43DC9D1A" w14:textId="2BA99C74" w:rsidR="00294839" w:rsidRDefault="00294839"/>
    <w:sectPr w:rsidR="00294839" w:rsidSect="003B3DE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F01C5A" w14:textId="77777777" w:rsidR="005B75B4" w:rsidRDefault="005B75B4">
      <w:pPr>
        <w:spacing w:line="240" w:lineRule="auto"/>
      </w:pPr>
      <w:r>
        <w:separator/>
      </w:r>
    </w:p>
  </w:endnote>
  <w:endnote w:type="continuationSeparator" w:id="0">
    <w:p w14:paraId="0365F3E4" w14:textId="77777777" w:rsidR="005B75B4" w:rsidRDefault="005B7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ira Mon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B60CC" w14:textId="77777777" w:rsidR="00885223" w:rsidRDefault="00885223">
    <w:pPr>
      <w:jc w:val="right"/>
    </w:pP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>
      <w:rPr>
        <w:b/>
        <w:noProof/>
      </w:rPr>
      <w:t>7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27B7E" w14:textId="77777777" w:rsidR="005B75B4" w:rsidRDefault="005B75B4">
      <w:pPr>
        <w:spacing w:line="240" w:lineRule="auto"/>
      </w:pPr>
      <w:r>
        <w:separator/>
      </w:r>
    </w:p>
  </w:footnote>
  <w:footnote w:type="continuationSeparator" w:id="0">
    <w:p w14:paraId="42D8C3F2" w14:textId="77777777" w:rsidR="005B75B4" w:rsidRDefault="005B75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DFE15" w14:textId="77777777" w:rsidR="00885223" w:rsidRDefault="0088522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1A1"/>
    <w:rsid w:val="00025D8A"/>
    <w:rsid w:val="000E6093"/>
    <w:rsid w:val="000F311B"/>
    <w:rsid w:val="00132E9D"/>
    <w:rsid w:val="0029040A"/>
    <w:rsid w:val="00294839"/>
    <w:rsid w:val="00363708"/>
    <w:rsid w:val="003B3DEE"/>
    <w:rsid w:val="005631F9"/>
    <w:rsid w:val="00567983"/>
    <w:rsid w:val="005B75B4"/>
    <w:rsid w:val="007447A5"/>
    <w:rsid w:val="00885223"/>
    <w:rsid w:val="008E05D4"/>
    <w:rsid w:val="0097255A"/>
    <w:rsid w:val="009E7455"/>
    <w:rsid w:val="00A741A1"/>
    <w:rsid w:val="00A8596B"/>
    <w:rsid w:val="00A91AA3"/>
    <w:rsid w:val="00AE6E68"/>
    <w:rsid w:val="00B84A96"/>
    <w:rsid w:val="00BB364B"/>
    <w:rsid w:val="00C36B3F"/>
    <w:rsid w:val="00D92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07CF4"/>
  <w15:docId w15:val="{9D86CA90-CBC1-47E7-AF3D-1D79BF919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798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983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567983"/>
  </w:style>
  <w:style w:type="character" w:customStyle="1" w:styleId="Heading2Char">
    <w:name w:val="Heading 2 Char"/>
    <w:basedOn w:val="DefaultParagraphFont"/>
    <w:link w:val="Heading2"/>
    <w:rsid w:val="003B3DEE"/>
    <w:rPr>
      <w:sz w:val="32"/>
      <w:szCs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2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223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5631F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laurahspencer/red-king_RNASeq-2022/blob/main/manuscript/Supplemental/Supplemental-Table-5_Upregulated-Low-CV-Enrichment-Results.csv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laurahspencer/red-king_RNASeq-2022/blob/main/manuscript/PLOS-Climate-submission/Supporting-Information/Supplemental-Table-1_Water-parameters-by-tank.csv" TargetMode="External"/><Relationship Id="rId12" Type="http://schemas.openxmlformats.org/officeDocument/2006/relationships/hyperlink" Target="https://github.com/laurahspencer/red-king_RNASeq-2022/blob/main/manuscript/Supplemental/Supplemental-Table-4_DEG-Enrichment-Results.csv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github.com/laurahspencer/red-king_RNASeq-2022/blob/main/manuscript/Supplemental/Supplemental-Table-3_WGCNA-Enrichment-Results.csv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footnotes" Target="footnotes.xml"/><Relationship Id="rId9" Type="http://schemas.openxmlformats.org/officeDocument/2006/relationships/image" Target="media/image3.jpg"/><Relationship Id="rId14" Type="http://schemas.openxmlformats.org/officeDocument/2006/relationships/hyperlink" Target="https://github.com/laurahspencer/red-king_RNASeq-2022/blob/main/manuscript/Supplemental/Supplemental-Table-6_Transposon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7</Pages>
  <Words>810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 AFSC</Company>
  <LinksUpToDate>false</LinksUpToDate>
  <CharactersWithSpaces>5417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Laura.Spencer</dc:creator>
  <cp:lastModifiedBy>Laura.Spencer</cp:lastModifiedBy>
  <cp:revision>9</cp:revision>
  <dcterms:created xsi:type="dcterms:W3CDTF">2023-10-05T16:31:00Z</dcterms:created>
  <dcterms:modified xsi:type="dcterms:W3CDTF">2024-01-22T06:33:00Z</dcterms:modified>
</cp:coreProperties>
</file>