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olors5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olors3.xml" ContentType="application/vnd.ms-office.chartcolorstyle+xml"/>
  <Override PartName="/word/charts/colors4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charts/style5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colors1.xml" ContentType="application/vnd.ms-office.chartcolorstyle+xml"/>
  <Override PartName="/word/charts/colors2.xml" ContentType="application/vnd.ms-office.chartcolorsty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harts/style1.xml" ContentType="application/vnd.ms-office.chartstyle+xml"/>
  <Override PartName="/word/charts/style2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00" w:rsidRPr="00D01B33" w:rsidRDefault="00333500" w:rsidP="0070117F">
      <w:pPr>
        <w:jc w:val="center"/>
        <w:rPr>
          <w:rFonts w:ascii="Arial" w:hAnsi="Arial" w:cs="Arial"/>
          <w:sz w:val="36"/>
          <w:szCs w:val="24"/>
          <w:lang w:val="ca-ES"/>
        </w:rPr>
      </w:pPr>
    </w:p>
    <w:p w:rsidR="00333500" w:rsidRPr="00D01B33" w:rsidRDefault="00333500" w:rsidP="0070117F">
      <w:pPr>
        <w:jc w:val="center"/>
        <w:rPr>
          <w:rFonts w:ascii="Arial" w:hAnsi="Arial" w:cs="Arial"/>
          <w:sz w:val="36"/>
          <w:szCs w:val="24"/>
          <w:lang w:val="ca-ES"/>
        </w:rPr>
      </w:pPr>
    </w:p>
    <w:p w:rsidR="0070117F" w:rsidRPr="00D01B33" w:rsidRDefault="00666400" w:rsidP="0070117F">
      <w:pPr>
        <w:jc w:val="center"/>
        <w:rPr>
          <w:rFonts w:ascii="Arial" w:hAnsi="Arial" w:cs="Arial"/>
          <w:bCs/>
          <w:sz w:val="52"/>
          <w:szCs w:val="24"/>
          <w:lang w:val="ca-ES"/>
        </w:rPr>
      </w:pPr>
      <w:r w:rsidRPr="00D01B33">
        <w:rPr>
          <w:rFonts w:ascii="Arial" w:hAnsi="Arial" w:cs="Arial"/>
          <w:sz w:val="52"/>
          <w:szCs w:val="24"/>
          <w:lang w:val="ca-ES"/>
        </w:rPr>
        <w:t>Anàlisis de</w:t>
      </w:r>
      <w:r w:rsidR="0070117F" w:rsidRPr="00D01B33">
        <w:rPr>
          <w:rFonts w:ascii="Arial" w:hAnsi="Arial" w:cs="Arial"/>
          <w:sz w:val="52"/>
          <w:szCs w:val="24"/>
          <w:lang w:val="ca-ES"/>
        </w:rPr>
        <w:t>l</w:t>
      </w:r>
      <w:r w:rsidRPr="00D01B33">
        <w:rPr>
          <w:rFonts w:ascii="Arial" w:hAnsi="Arial" w:cs="Arial"/>
          <w:sz w:val="52"/>
          <w:szCs w:val="24"/>
          <w:lang w:val="ca-ES"/>
        </w:rPr>
        <w:t xml:space="preserve"> creixement de la</w:t>
      </w:r>
      <w:r w:rsidR="0070117F" w:rsidRPr="00D01B33">
        <w:rPr>
          <w:rFonts w:ascii="Arial" w:hAnsi="Arial" w:cs="Arial"/>
          <w:sz w:val="52"/>
          <w:szCs w:val="24"/>
          <w:lang w:val="ca-ES"/>
        </w:rPr>
        <w:t xml:space="preserve"> </w:t>
      </w:r>
      <w:r w:rsidR="0070117F" w:rsidRPr="00D01B33">
        <w:rPr>
          <w:rFonts w:ascii="Arial" w:hAnsi="Arial" w:cs="Arial"/>
          <w:bCs/>
          <w:sz w:val="52"/>
          <w:szCs w:val="24"/>
          <w:lang w:val="ca-ES"/>
        </w:rPr>
        <w:t>sèrie trimestral del PIB</w:t>
      </w:r>
      <w:r w:rsidRPr="00D01B33">
        <w:rPr>
          <w:rFonts w:ascii="Arial" w:hAnsi="Arial" w:cs="Arial"/>
          <w:bCs/>
          <w:sz w:val="52"/>
          <w:szCs w:val="24"/>
          <w:lang w:val="ca-ES"/>
        </w:rPr>
        <w:t xml:space="preserve"> respecte l’any anterior</w:t>
      </w:r>
    </w:p>
    <w:p w:rsidR="00333500" w:rsidRPr="00D01B33" w:rsidRDefault="00333500" w:rsidP="0070117F">
      <w:pPr>
        <w:jc w:val="both"/>
        <w:rPr>
          <w:rFonts w:ascii="Arial" w:hAnsi="Arial" w:cs="Arial"/>
          <w:bCs/>
          <w:sz w:val="24"/>
          <w:szCs w:val="24"/>
          <w:lang w:val="ca-ES"/>
        </w:rPr>
      </w:pPr>
    </w:p>
    <w:p w:rsidR="00333500" w:rsidRPr="00D01B33" w:rsidRDefault="00333500" w:rsidP="00333500">
      <w:pPr>
        <w:jc w:val="both"/>
        <w:rPr>
          <w:rFonts w:ascii="Arial" w:hAnsi="Arial" w:cs="Arial"/>
          <w:bCs/>
          <w:sz w:val="24"/>
          <w:szCs w:val="24"/>
          <w:lang w:val="ca-ES"/>
        </w:rPr>
      </w:pPr>
    </w:p>
    <w:p w:rsidR="00333500" w:rsidRPr="00D01B33" w:rsidRDefault="00333500" w:rsidP="00333500">
      <w:pPr>
        <w:jc w:val="both"/>
        <w:rPr>
          <w:rFonts w:ascii="Arial" w:hAnsi="Arial" w:cs="Arial"/>
          <w:bCs/>
          <w:sz w:val="24"/>
          <w:szCs w:val="24"/>
          <w:lang w:val="ca-ES"/>
        </w:rPr>
      </w:pPr>
    </w:p>
    <w:p w:rsidR="0070117F" w:rsidRPr="00D01B33" w:rsidRDefault="0071472D" w:rsidP="0070117F">
      <w:pPr>
        <w:jc w:val="both"/>
        <w:rPr>
          <w:rFonts w:ascii="Arial" w:hAnsi="Arial" w:cs="Arial"/>
          <w:bCs/>
          <w:sz w:val="24"/>
          <w:szCs w:val="24"/>
          <w:lang w:val="ca-ES"/>
        </w:rPr>
      </w:pP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En aquest treball s’estudia la forma de </w:t>
      </w:r>
      <w:r w:rsidR="00D01B33" w:rsidRPr="00D01B33">
        <w:rPr>
          <w:rFonts w:ascii="Arial" w:hAnsi="Arial" w:cs="Arial"/>
          <w:bCs/>
          <w:sz w:val="24"/>
          <w:szCs w:val="24"/>
          <w:lang w:val="ca-ES"/>
        </w:rPr>
        <w:t>comportar-se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 que té el PIB a Espanya. Les dades estan recollides 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>de forma trimestral,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 i van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 xml:space="preserve"> des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 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>de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 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 xml:space="preserve">l’any 2004 fins 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>al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 xml:space="preserve"> 2017. Es pren com a </w:t>
      </w:r>
      <w:r w:rsidR="00D01B33" w:rsidRPr="00D01B33">
        <w:rPr>
          <w:rFonts w:ascii="Arial" w:hAnsi="Arial" w:cs="Arial"/>
          <w:bCs/>
          <w:sz w:val="24"/>
          <w:szCs w:val="24"/>
          <w:lang w:val="ca-ES"/>
        </w:rPr>
        <w:t>període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bCs/>
          <w:sz w:val="24"/>
          <w:szCs w:val="24"/>
          <w:lang w:val="ca-ES"/>
        </w:rPr>
        <w:t>extra mostral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 xml:space="preserve"> els dos </w:t>
      </w:r>
      <w:r w:rsidR="00D01B33" w:rsidRPr="00D01B33">
        <w:rPr>
          <w:rFonts w:ascii="Arial" w:hAnsi="Arial" w:cs="Arial"/>
          <w:bCs/>
          <w:sz w:val="24"/>
          <w:szCs w:val="24"/>
          <w:lang w:val="ca-ES"/>
        </w:rPr>
        <w:t>últims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 xml:space="preserve"> trimestres de l’any 2016 i els dos primers de l’any 2017. Això 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>é</w:t>
      </w:r>
      <w:r w:rsidR="0070117F" w:rsidRPr="00D01B33">
        <w:rPr>
          <w:rFonts w:ascii="Arial" w:hAnsi="Arial" w:cs="Arial"/>
          <w:bCs/>
          <w:sz w:val="24"/>
          <w:szCs w:val="24"/>
          <w:lang w:val="ca-ES"/>
        </w:rPr>
        <w:t>s degut a que les dades recollides canvien bastant a partir del 2016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>. Usant e</w:t>
      </w:r>
      <w:r w:rsidRPr="00D01B33">
        <w:rPr>
          <w:rFonts w:ascii="Arial" w:hAnsi="Arial" w:cs="Arial"/>
          <w:bCs/>
          <w:sz w:val="24"/>
          <w:szCs w:val="24"/>
          <w:lang w:val="ca-ES"/>
        </w:rPr>
        <w:t>l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>s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 test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>s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 de D</w:t>
      </w:r>
      <w:r w:rsidR="00E3114C" w:rsidRPr="00D01B33">
        <w:rPr>
          <w:rFonts w:ascii="Arial" w:hAnsi="Arial" w:cs="Arial"/>
          <w:bCs/>
          <w:sz w:val="24"/>
          <w:szCs w:val="24"/>
          <w:lang w:val="ca-ES"/>
        </w:rPr>
        <w:t>aniel i de K</w:t>
      </w:r>
      <w:r w:rsidRPr="00D01B33">
        <w:rPr>
          <w:rFonts w:ascii="Arial" w:hAnsi="Arial" w:cs="Arial"/>
          <w:bCs/>
          <w:sz w:val="24"/>
          <w:szCs w:val="24"/>
          <w:lang w:val="ca-ES"/>
        </w:rPr>
        <w:t>ruskal-Wall</w:t>
      </w:r>
      <w:r w:rsidR="00333500" w:rsidRPr="00D01B33">
        <w:rPr>
          <w:rFonts w:ascii="Arial" w:hAnsi="Arial" w:cs="Arial"/>
          <w:bCs/>
          <w:sz w:val="24"/>
          <w:szCs w:val="24"/>
          <w:lang w:val="ca-ES"/>
        </w:rPr>
        <w:t>i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s 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>e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s determina </w:t>
      </w:r>
      <w:r w:rsidR="00333500" w:rsidRPr="00D01B33">
        <w:rPr>
          <w:rFonts w:ascii="Arial" w:hAnsi="Arial" w:cs="Arial"/>
          <w:bCs/>
          <w:sz w:val="24"/>
          <w:szCs w:val="24"/>
          <w:lang w:val="ca-ES"/>
        </w:rPr>
        <w:t xml:space="preserve">que 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>aquestes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 dades presenten una lleugera </w:t>
      </w:r>
      <w:r w:rsidR="00D01B33" w:rsidRPr="00D01B33">
        <w:rPr>
          <w:rFonts w:ascii="Arial" w:hAnsi="Arial" w:cs="Arial"/>
          <w:bCs/>
          <w:sz w:val="24"/>
          <w:szCs w:val="24"/>
          <w:lang w:val="ca-ES"/>
        </w:rPr>
        <w:t>tendència</w:t>
      </w:r>
      <w:r w:rsidRPr="00D01B33">
        <w:rPr>
          <w:rFonts w:ascii="Arial" w:hAnsi="Arial" w:cs="Arial"/>
          <w:bCs/>
          <w:sz w:val="24"/>
          <w:szCs w:val="24"/>
          <w:lang w:val="ca-ES"/>
        </w:rPr>
        <w:t xml:space="preserve"> a la baixa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 xml:space="preserve"> i</w:t>
      </w:r>
      <w:r w:rsidR="00E3114C" w:rsidRPr="00D01B33">
        <w:rPr>
          <w:rFonts w:ascii="Arial" w:hAnsi="Arial" w:cs="Arial"/>
          <w:bCs/>
          <w:sz w:val="24"/>
          <w:szCs w:val="24"/>
          <w:lang w:val="ca-ES"/>
        </w:rPr>
        <w:t xml:space="preserve"> que no presenten estacionalitat</w:t>
      </w:r>
      <w:r w:rsidR="005E669D" w:rsidRPr="00D01B33">
        <w:rPr>
          <w:rFonts w:ascii="Arial" w:hAnsi="Arial" w:cs="Arial"/>
          <w:bCs/>
          <w:sz w:val="24"/>
          <w:szCs w:val="24"/>
          <w:lang w:val="ca-ES"/>
        </w:rPr>
        <w:t xml:space="preserve">. Per tant, estem </w:t>
      </w:r>
      <w:r w:rsidR="00D01B33" w:rsidRPr="00D01B33">
        <w:rPr>
          <w:rFonts w:ascii="Arial" w:hAnsi="Arial" w:cs="Arial"/>
          <w:bCs/>
          <w:sz w:val="24"/>
          <w:szCs w:val="24"/>
          <w:lang w:val="ca-ES"/>
        </w:rPr>
        <w:t>davant</w:t>
      </w:r>
      <w:r w:rsidR="005E669D" w:rsidRPr="00D01B33">
        <w:rPr>
          <w:rFonts w:ascii="Arial" w:hAnsi="Arial" w:cs="Arial"/>
          <w:bCs/>
          <w:sz w:val="24"/>
          <w:szCs w:val="24"/>
          <w:lang w:val="ca-ES"/>
        </w:rPr>
        <w:t xml:space="preserve"> de a </w:t>
      </w:r>
      <w:r w:rsidR="00D01B33" w:rsidRPr="00D01B33">
        <w:rPr>
          <w:rFonts w:ascii="Arial" w:hAnsi="Arial" w:cs="Arial"/>
          <w:bCs/>
          <w:sz w:val="24"/>
          <w:szCs w:val="24"/>
          <w:lang w:val="ca-ES"/>
        </w:rPr>
        <w:t>sèrie</w:t>
      </w:r>
      <w:r w:rsidR="005E669D" w:rsidRPr="00D01B33">
        <w:rPr>
          <w:rFonts w:ascii="Arial" w:hAnsi="Arial" w:cs="Arial"/>
          <w:bCs/>
          <w:sz w:val="24"/>
          <w:szCs w:val="24"/>
          <w:lang w:val="ca-ES"/>
        </w:rPr>
        <w:t xml:space="preserve"> de dades de Tipus III</w:t>
      </w:r>
      <w:r w:rsidR="00911981" w:rsidRPr="00D01B33">
        <w:rPr>
          <w:rFonts w:ascii="Arial" w:hAnsi="Arial" w:cs="Arial"/>
          <w:bCs/>
          <w:sz w:val="24"/>
          <w:szCs w:val="24"/>
          <w:lang w:val="ca-ES"/>
        </w:rPr>
        <w:t>.</w:t>
      </w:r>
    </w:p>
    <w:p w:rsidR="00333500" w:rsidRPr="00D01B33" w:rsidRDefault="00333500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333500" w:rsidRPr="00D01B33" w:rsidRDefault="00333500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911981" w:rsidRPr="00D01B33" w:rsidRDefault="00911981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911981" w:rsidRPr="00D01B33" w:rsidRDefault="00911981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911981" w:rsidRPr="00D01B33" w:rsidRDefault="00911981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911981" w:rsidRPr="00D01B33" w:rsidRDefault="00911981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911981" w:rsidRPr="00D01B33" w:rsidRDefault="00911981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333500" w:rsidRPr="00D01B33" w:rsidRDefault="00333500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911981" w:rsidRPr="00D01B33" w:rsidRDefault="00911981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666400" w:rsidRPr="00D01B33" w:rsidRDefault="00666400" w:rsidP="0070117F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911981" w:rsidRPr="00D01B33" w:rsidRDefault="00911981" w:rsidP="00911981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>Víctor Ferrer Vázquez</w:t>
      </w:r>
    </w:p>
    <w:p w:rsidR="00333500" w:rsidRPr="00D01B33" w:rsidRDefault="00333500" w:rsidP="00333500">
      <w:pPr>
        <w:jc w:val="center"/>
        <w:rPr>
          <w:rFonts w:ascii="Arial" w:hAnsi="Arial" w:cs="Arial"/>
          <w:sz w:val="36"/>
          <w:szCs w:val="24"/>
          <w:lang w:val="ca-ES"/>
        </w:rPr>
      </w:pPr>
      <w:r w:rsidRPr="00D01B33">
        <w:rPr>
          <w:rFonts w:ascii="Arial" w:hAnsi="Arial" w:cs="Arial"/>
          <w:sz w:val="36"/>
          <w:szCs w:val="24"/>
          <w:lang w:val="ca-ES"/>
        </w:rPr>
        <w:lastRenderedPageBreak/>
        <w:t>Introducció</w:t>
      </w:r>
    </w:p>
    <w:p w:rsidR="00911981" w:rsidRPr="00D01B33" w:rsidRDefault="00911981" w:rsidP="00333500">
      <w:pPr>
        <w:jc w:val="center"/>
        <w:rPr>
          <w:rFonts w:ascii="Arial" w:hAnsi="Arial" w:cs="Arial"/>
          <w:sz w:val="36"/>
          <w:szCs w:val="24"/>
          <w:lang w:val="ca-ES"/>
        </w:rPr>
      </w:pPr>
    </w:p>
    <w:p w:rsidR="00333500" w:rsidRPr="00D01B33" w:rsidRDefault="00911981" w:rsidP="00333500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Es té una base de dades sobre el comportament del PIB </w:t>
      </w:r>
      <w:r w:rsidR="00000839" w:rsidRPr="00D01B33">
        <w:rPr>
          <w:rFonts w:ascii="Arial" w:hAnsi="Arial" w:cs="Arial"/>
          <w:sz w:val="24"/>
          <w:szCs w:val="24"/>
          <w:lang w:val="ca-ES"/>
        </w:rPr>
        <w:t xml:space="preserve">i es treballarà per tal de veure com es podria comportar el PIB en els següents trimestres i següents anys. Les dades que es tenen són molt variades i per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això</w:t>
      </w:r>
      <w:r w:rsidR="00000839" w:rsidRPr="00D01B33">
        <w:rPr>
          <w:rFonts w:ascii="Arial" w:hAnsi="Arial" w:cs="Arial"/>
          <w:sz w:val="24"/>
          <w:szCs w:val="24"/>
          <w:lang w:val="ca-ES"/>
        </w:rPr>
        <w:t xml:space="preserve"> fer una predicció exacte és força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difícil</w:t>
      </w:r>
      <w:r w:rsidR="00000839" w:rsidRPr="00D01B33">
        <w:rPr>
          <w:rFonts w:ascii="Arial" w:hAnsi="Arial" w:cs="Arial"/>
          <w:sz w:val="24"/>
          <w:szCs w:val="24"/>
          <w:lang w:val="ca-ES"/>
        </w:rPr>
        <w:t xml:space="preserve"> de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aconseguir</w:t>
      </w:r>
      <w:r w:rsidR="00000839" w:rsidRPr="00D01B33">
        <w:rPr>
          <w:rFonts w:ascii="Arial" w:hAnsi="Arial" w:cs="Arial"/>
          <w:sz w:val="24"/>
          <w:szCs w:val="24"/>
          <w:lang w:val="ca-ES"/>
        </w:rPr>
        <w:t xml:space="preserve">, per aquest motiu del total de les dades que es tenen, només es pren com 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període</w:t>
      </w:r>
      <w:r w:rsidR="00000839"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extra</w:t>
      </w:r>
      <w:r w:rsidR="00000839" w:rsidRPr="00D01B33">
        <w:rPr>
          <w:rFonts w:ascii="Arial" w:hAnsi="Arial" w:cs="Arial"/>
          <w:sz w:val="24"/>
          <w:szCs w:val="24"/>
          <w:lang w:val="ca-ES"/>
        </w:rPr>
        <w:t xml:space="preserve"> les ultimes dades,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perquè</w:t>
      </w:r>
      <w:r w:rsidR="00000839" w:rsidRPr="00D01B33">
        <w:rPr>
          <w:rFonts w:ascii="Arial" w:hAnsi="Arial" w:cs="Arial"/>
          <w:sz w:val="24"/>
          <w:szCs w:val="24"/>
          <w:lang w:val="ca-ES"/>
        </w:rPr>
        <w:t xml:space="preserve"> és on hi ha un canvi important en el seu </w:t>
      </w:r>
      <w:r w:rsidR="00F9527C" w:rsidRPr="00D01B33">
        <w:rPr>
          <w:rFonts w:ascii="Arial" w:hAnsi="Arial" w:cs="Arial"/>
          <w:sz w:val="24"/>
          <w:szCs w:val="24"/>
          <w:lang w:val="ca-ES"/>
        </w:rPr>
        <w:t xml:space="preserve">comportament, i com no hi ha prous dades, si s’eliminen les dades que es comporten d’una forma tant diferent a les ultimes dades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="00F9527C" w:rsidRPr="00D01B33">
        <w:rPr>
          <w:rFonts w:ascii="Arial" w:hAnsi="Arial" w:cs="Arial"/>
          <w:sz w:val="24"/>
          <w:szCs w:val="24"/>
          <w:lang w:val="ca-ES"/>
        </w:rPr>
        <w:t xml:space="preserve"> es quedaria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pràcticament</w:t>
      </w:r>
      <w:r w:rsidR="00F9527C" w:rsidRPr="00D01B33">
        <w:rPr>
          <w:rFonts w:ascii="Arial" w:hAnsi="Arial" w:cs="Arial"/>
          <w:sz w:val="24"/>
          <w:szCs w:val="24"/>
          <w:lang w:val="ca-ES"/>
        </w:rPr>
        <w:t xml:space="preserve"> sense ninguna dada.</w:t>
      </w:r>
    </w:p>
    <w:p w:rsidR="003F09B6" w:rsidRPr="00D01B33" w:rsidRDefault="003F09B6" w:rsidP="00333500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000839" w:rsidRPr="00D01B33" w:rsidRDefault="00000839" w:rsidP="00333500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En aquest treball hi ha </w:t>
      </w:r>
      <w:r w:rsidR="00D01B33">
        <w:rPr>
          <w:rFonts w:ascii="Arial" w:hAnsi="Arial" w:cs="Arial"/>
          <w:sz w:val="24"/>
          <w:szCs w:val="24"/>
          <w:lang w:val="ca-ES"/>
        </w:rPr>
        <w:t>diversos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objectius:</w:t>
      </w:r>
    </w:p>
    <w:p w:rsidR="003F09B6" w:rsidRPr="00D01B33" w:rsidRDefault="003F09B6" w:rsidP="00333500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845A55" w:rsidRPr="00D01B33" w:rsidRDefault="00000839" w:rsidP="00FA14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>Descobrir si les dades tenen una certa tendència</w:t>
      </w:r>
      <w:r w:rsidR="00845A55" w:rsidRPr="00D01B33">
        <w:rPr>
          <w:rFonts w:ascii="Arial" w:hAnsi="Arial" w:cs="Arial"/>
          <w:sz w:val="24"/>
          <w:szCs w:val="24"/>
          <w:lang w:val="ca-ES"/>
        </w:rPr>
        <w:t>, i si en tenen, si es a l’alça o a la baixa.</w:t>
      </w:r>
    </w:p>
    <w:p w:rsidR="00000839" w:rsidRPr="00D01B33" w:rsidRDefault="00000839" w:rsidP="00FA14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>Veure si aquestes dades tenen algun component estacional que es repeteixi de forma constant al pas dels trimestres o dels anys.</w:t>
      </w:r>
    </w:p>
    <w:p w:rsidR="00000839" w:rsidRPr="00D01B33" w:rsidRDefault="00000839" w:rsidP="0000083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Un cop sabut si hi ha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tendència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i si hi ha estacionalitat. Estudiar els diferents mètodes de predicció pertinents al tipus de dades amb les que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s’està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treballant.</w:t>
      </w:r>
    </w:p>
    <w:p w:rsidR="00000839" w:rsidRPr="00D01B33" w:rsidRDefault="00000839" w:rsidP="00000839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3F09B6" w:rsidRPr="00D01B33" w:rsidRDefault="003F09B6" w:rsidP="00000839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333500" w:rsidRPr="00D01B33" w:rsidRDefault="00000839" w:rsidP="00333500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Aquestes 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dades són el creixement percentual respecte al mateix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trimestre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de l’any anterior del PIB, és a dir són els punts percentuals que ha augmentat o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disminuït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3F09B6" w:rsidRPr="00D01B33">
        <w:rPr>
          <w:rFonts w:ascii="Arial" w:hAnsi="Arial" w:cs="Arial"/>
          <w:sz w:val="24"/>
          <w:szCs w:val="24"/>
          <w:lang w:val="ca-ES"/>
        </w:rPr>
        <w:t>en cada trimestre concret de l’any el PIB, en relació a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l </w:t>
      </w:r>
      <w:r w:rsidR="003F09B6" w:rsidRPr="00D01B33">
        <w:rPr>
          <w:rFonts w:ascii="Arial" w:hAnsi="Arial" w:cs="Arial"/>
          <w:sz w:val="24"/>
          <w:szCs w:val="24"/>
          <w:lang w:val="ca-ES"/>
        </w:rPr>
        <w:t>de l’any directament anterior.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3F09B6" w:rsidRPr="00D01B33">
        <w:rPr>
          <w:rFonts w:ascii="Arial" w:hAnsi="Arial" w:cs="Arial"/>
          <w:sz w:val="24"/>
          <w:szCs w:val="24"/>
          <w:lang w:val="ca-ES"/>
        </w:rPr>
        <w:t>Aquestes s</w:t>
      </w:r>
      <w:r w:rsidR="00666400" w:rsidRPr="00D01B33">
        <w:rPr>
          <w:rFonts w:ascii="Arial" w:hAnsi="Arial" w:cs="Arial"/>
          <w:sz w:val="24"/>
          <w:szCs w:val="24"/>
          <w:lang w:val="ca-ES"/>
        </w:rPr>
        <w:t>ón</w:t>
      </w:r>
      <w:r w:rsidR="003F09B6" w:rsidRPr="00D01B33">
        <w:rPr>
          <w:rFonts w:ascii="Arial" w:hAnsi="Arial" w:cs="Arial"/>
          <w:sz w:val="24"/>
          <w:szCs w:val="24"/>
          <w:lang w:val="ca-ES"/>
        </w:rPr>
        <w:t xml:space="preserve"> unes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dades extretes de l’INE</w:t>
      </w:r>
      <w:r w:rsidR="003F09B6" w:rsidRPr="00D01B33">
        <w:rPr>
          <w:rFonts w:ascii="Arial" w:hAnsi="Arial" w:cs="Arial"/>
          <w:sz w:val="24"/>
          <w:szCs w:val="24"/>
          <w:lang w:val="ca-ES"/>
        </w:rPr>
        <w:t>,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de la secció de </w:t>
      </w:r>
      <w:r w:rsidR="00D01B33">
        <w:rPr>
          <w:rFonts w:ascii="Arial" w:hAnsi="Arial" w:cs="Arial"/>
          <w:sz w:val="24"/>
          <w:szCs w:val="24"/>
          <w:lang w:val="ca-ES"/>
        </w:rPr>
        <w:t>prem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sa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de la </w:t>
      </w:r>
      <w:r w:rsidR="00D01B33" w:rsidRPr="009243F1">
        <w:rPr>
          <w:rFonts w:ascii="Arial" w:hAnsi="Arial" w:cs="Arial"/>
          <w:sz w:val="24"/>
          <w:szCs w:val="24"/>
          <w:lang w:val="ca-ES"/>
        </w:rPr>
        <w:t>comptabilitat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nacional, concretament de la secció de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trimestral del PIB prenent la base de dades de la </w:t>
      </w:r>
      <w:r w:rsidR="00D01B33">
        <w:rPr>
          <w:rFonts w:ascii="Arial" w:hAnsi="Arial" w:cs="Arial"/>
          <w:sz w:val="24"/>
          <w:szCs w:val="24"/>
          <w:lang w:val="ca-ES"/>
        </w:rPr>
        <w:t>tax</w:t>
      </w:r>
      <w:r w:rsidR="00D01B33" w:rsidRPr="00D01B33">
        <w:rPr>
          <w:rFonts w:ascii="Arial" w:hAnsi="Arial" w:cs="Arial"/>
          <w:sz w:val="24"/>
          <w:szCs w:val="24"/>
          <w:lang w:val="ca-ES"/>
        </w:rPr>
        <w:t>a</w:t>
      </w:r>
      <w:r w:rsidR="00666400" w:rsidRPr="00D01B33">
        <w:rPr>
          <w:rFonts w:ascii="Arial" w:hAnsi="Arial" w:cs="Arial"/>
          <w:sz w:val="24"/>
          <w:szCs w:val="24"/>
          <w:lang w:val="ca-ES"/>
        </w:rPr>
        <w:t xml:space="preserve"> anual.</w:t>
      </w:r>
    </w:p>
    <w:p w:rsidR="003F09B6" w:rsidRPr="00D01B33" w:rsidRDefault="003F09B6" w:rsidP="00333500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3F09B6" w:rsidRPr="00D01B33" w:rsidRDefault="003F09B6" w:rsidP="00333500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Primerament és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farà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un estudi de les dades al complet, per veure de quin tipus de dades tenim al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davant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, que es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farà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amb el </w:t>
      </w:r>
      <w:r w:rsidR="00D01B33">
        <w:rPr>
          <w:rFonts w:ascii="Arial" w:hAnsi="Arial" w:cs="Arial"/>
          <w:sz w:val="24"/>
          <w:szCs w:val="24"/>
          <w:lang w:val="ca-ES"/>
        </w:rPr>
        <w:t>test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de Daniel i amb el test de Kruskal-Wallis. Després al veure com són les dades,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s’agafarà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una part de les dades com 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període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mostral i l’altre part com 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període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extra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, per així aplicar els diferents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mètodes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de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pr</w:t>
      </w:r>
      <w:r w:rsidR="00D01B33">
        <w:rPr>
          <w:rFonts w:ascii="Arial" w:hAnsi="Arial" w:cs="Arial"/>
          <w:sz w:val="24"/>
          <w:szCs w:val="24"/>
          <w:lang w:val="ca-ES"/>
        </w:rPr>
        <w:t>ed</w:t>
      </w:r>
      <w:r w:rsidR="00D01B33" w:rsidRPr="00D01B33">
        <w:rPr>
          <w:rFonts w:ascii="Arial" w:hAnsi="Arial" w:cs="Arial"/>
          <w:sz w:val="24"/>
          <w:szCs w:val="24"/>
          <w:lang w:val="ca-ES"/>
        </w:rPr>
        <w:t>icció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pertinents al tipus de dades que es té.</w:t>
      </w:r>
    </w:p>
    <w:p w:rsidR="003F09B6" w:rsidRPr="00D01B33" w:rsidRDefault="003F09B6" w:rsidP="00333500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3F09B6" w:rsidRPr="00D01B33" w:rsidRDefault="003F09B6" w:rsidP="00333500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3F09B6" w:rsidRPr="00D01B33" w:rsidRDefault="003F09B6" w:rsidP="00333500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3F09B6" w:rsidRPr="00D01B33" w:rsidRDefault="003F09B6" w:rsidP="003F09B6">
      <w:pPr>
        <w:jc w:val="center"/>
        <w:rPr>
          <w:rFonts w:ascii="Arial" w:hAnsi="Arial" w:cs="Arial"/>
          <w:sz w:val="36"/>
          <w:szCs w:val="24"/>
          <w:lang w:val="ca-ES"/>
        </w:rPr>
      </w:pPr>
      <w:r w:rsidRPr="00D01B33">
        <w:rPr>
          <w:rFonts w:ascii="Arial" w:hAnsi="Arial" w:cs="Arial"/>
          <w:sz w:val="36"/>
          <w:szCs w:val="24"/>
          <w:lang w:val="ca-ES"/>
        </w:rPr>
        <w:t>Aplicació empírica</w:t>
      </w:r>
    </w:p>
    <w:p w:rsidR="001A2774" w:rsidRPr="00D01B33" w:rsidRDefault="001A2774" w:rsidP="003F09B6">
      <w:pPr>
        <w:jc w:val="center"/>
        <w:rPr>
          <w:rFonts w:ascii="Arial" w:hAnsi="Arial" w:cs="Arial"/>
          <w:sz w:val="36"/>
          <w:szCs w:val="24"/>
          <w:lang w:val="ca-ES"/>
        </w:rPr>
      </w:pPr>
    </w:p>
    <w:p w:rsidR="001A2774" w:rsidRPr="00D01B33" w:rsidRDefault="001A2774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Per començar es farà el test de Daniel per tal de veure si les dades tenen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tendència</w:t>
      </w:r>
      <w:r w:rsidR="00845A55" w:rsidRPr="00D01B33">
        <w:rPr>
          <w:rFonts w:ascii="Arial" w:hAnsi="Arial" w:cs="Arial"/>
          <w:sz w:val="24"/>
          <w:szCs w:val="24"/>
          <w:lang w:val="ca-ES"/>
        </w:rPr>
        <w:t xml:space="preserve"> i si es a l’alça o a la baixa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. Es realitza el següent test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d’hipòtesis</w:t>
      </w:r>
    </w:p>
    <w:p w:rsidR="001A2774" w:rsidRPr="00D01B33" w:rsidRDefault="001A2774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>H</w:t>
      </w:r>
      <w:r w:rsidRPr="00D01B33">
        <w:rPr>
          <w:rFonts w:ascii="Arial" w:hAnsi="Arial" w:cs="Arial"/>
          <w:sz w:val="24"/>
          <w:szCs w:val="24"/>
          <w:vertAlign w:val="subscript"/>
          <w:lang w:val="ca-ES"/>
        </w:rPr>
        <w:t xml:space="preserve">0 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= </w:t>
      </w:r>
      <w:r w:rsidR="00845A55" w:rsidRPr="00D01B33">
        <w:rPr>
          <w:rFonts w:ascii="Arial" w:hAnsi="Arial" w:cs="Arial"/>
          <w:sz w:val="24"/>
          <w:szCs w:val="24"/>
          <w:lang w:val="ca-ES"/>
        </w:rPr>
        <w:t xml:space="preserve">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="00845A55" w:rsidRPr="00D01B33">
        <w:rPr>
          <w:rFonts w:ascii="Arial" w:hAnsi="Arial" w:cs="Arial"/>
          <w:sz w:val="24"/>
          <w:szCs w:val="24"/>
          <w:lang w:val="ca-ES"/>
        </w:rPr>
        <w:t xml:space="preserve"> n</w:t>
      </w:r>
      <w:r w:rsidRPr="00D01B33">
        <w:rPr>
          <w:rFonts w:ascii="Arial" w:hAnsi="Arial" w:cs="Arial"/>
          <w:sz w:val="24"/>
          <w:szCs w:val="24"/>
          <w:lang w:val="ca-ES"/>
        </w:rPr>
        <w:t>o té tendència</w:t>
      </w:r>
    </w:p>
    <w:p w:rsidR="001A2774" w:rsidRPr="00D01B33" w:rsidRDefault="001A2774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>H</w:t>
      </w:r>
      <w:r w:rsidRPr="00D01B33">
        <w:rPr>
          <w:rFonts w:ascii="Arial" w:hAnsi="Arial" w:cs="Arial"/>
          <w:sz w:val="24"/>
          <w:szCs w:val="24"/>
          <w:vertAlign w:val="subscript"/>
          <w:lang w:val="ca-ES"/>
        </w:rPr>
        <w:t xml:space="preserve">1 </w:t>
      </w:r>
      <w:r w:rsidRPr="00D01B33">
        <w:rPr>
          <w:rFonts w:ascii="Arial" w:hAnsi="Arial" w:cs="Arial"/>
          <w:sz w:val="24"/>
          <w:szCs w:val="24"/>
          <w:lang w:val="ca-ES"/>
        </w:rPr>
        <w:t>=</w:t>
      </w:r>
      <w:r w:rsidR="00845A55" w:rsidRPr="00D01B33">
        <w:rPr>
          <w:rFonts w:ascii="Arial" w:hAnsi="Arial" w:cs="Arial"/>
          <w:sz w:val="24"/>
          <w:szCs w:val="24"/>
          <w:lang w:val="ca-ES"/>
        </w:rPr>
        <w:t xml:space="preserve">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="00845A55" w:rsidRPr="00D01B33">
        <w:rPr>
          <w:rFonts w:ascii="Arial" w:hAnsi="Arial" w:cs="Arial"/>
          <w:sz w:val="24"/>
          <w:szCs w:val="24"/>
          <w:lang w:val="ca-ES"/>
        </w:rPr>
        <w:t xml:space="preserve"> t</w:t>
      </w:r>
      <w:r w:rsidRPr="00D01B33">
        <w:rPr>
          <w:rFonts w:ascii="Arial" w:hAnsi="Arial" w:cs="Arial"/>
          <w:sz w:val="24"/>
          <w:szCs w:val="24"/>
          <w:lang w:val="ca-ES"/>
        </w:rPr>
        <w:t>é tendència</w:t>
      </w:r>
    </w:p>
    <w:p w:rsidR="001A2774" w:rsidRPr="00D01B33" w:rsidRDefault="00525C00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noProof/>
          <w:lang w:val="ca-ES" w:eastAsia="zh-CN"/>
        </w:rPr>
        <w:drawing>
          <wp:inline distT="0" distB="0" distL="0" distR="0">
            <wp:extent cx="5953125" cy="2728595"/>
            <wp:effectExtent l="0" t="0" r="952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D595C" w:rsidRPr="00D01B33" w:rsidRDefault="00AD595C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1A2774" w:rsidRPr="00D01B33" w:rsidRDefault="00845A55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Al realitzar el test de Daniel obtenim que 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estadístic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estandarditzat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a una Normal(0,1) és de -2.043 i el seu valor absolut és més gran que 1.96</w:t>
      </w:r>
      <w:r w:rsidR="00F9527C" w:rsidRPr="00D01B33">
        <w:rPr>
          <w:rFonts w:ascii="Arial" w:hAnsi="Arial" w:cs="Arial"/>
          <w:sz w:val="24"/>
          <w:szCs w:val="24"/>
          <w:lang w:val="ca-ES"/>
        </w:rPr>
        <w:t>, que és el punt d’una Normal(0,1)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F9527C" w:rsidRPr="00D01B33">
        <w:rPr>
          <w:rFonts w:ascii="Arial" w:hAnsi="Arial" w:cs="Arial"/>
          <w:sz w:val="24"/>
          <w:szCs w:val="24"/>
          <w:lang w:val="ca-ES"/>
        </w:rPr>
        <w:t xml:space="preserve">que deixa a les cues un nivell de significació del 5%, 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i per tant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rebutgem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la H</w:t>
      </w:r>
      <w:r w:rsidRPr="00D01B33">
        <w:rPr>
          <w:rFonts w:ascii="Arial" w:hAnsi="Arial" w:cs="Arial"/>
          <w:sz w:val="24"/>
          <w:szCs w:val="24"/>
          <w:vertAlign w:val="subscript"/>
          <w:lang w:val="ca-ES"/>
        </w:rPr>
        <w:t>0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i es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podrà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dir que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té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tendència</w:t>
      </w:r>
      <w:r w:rsidRPr="00D01B33">
        <w:rPr>
          <w:rFonts w:ascii="Arial" w:hAnsi="Arial" w:cs="Arial"/>
          <w:sz w:val="24"/>
          <w:szCs w:val="24"/>
          <w:lang w:val="ca-ES"/>
        </w:rPr>
        <w:t>, a la baixa.</w:t>
      </w:r>
    </w:p>
    <w:p w:rsidR="00AD595C" w:rsidRPr="00D01B33" w:rsidRDefault="00AD595C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F9527C" w:rsidRPr="00D01B33" w:rsidRDefault="00F9527C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El segon pas serà fer el test de Kruskal-Wallis per saber si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té estacionalitat. A primera vista, mirant el gràfic de les dades, no sembla que pugui haver-hi. Ara bé al aplicar el test de K-W obtenim un estadístic amb un valor de -7.13 i el seu valor absolut és mes petit que el punt en el que una Xi-quadrat deixa una area a les cues del 5%. Per tant,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no te estacionalitat</w:t>
      </w:r>
      <w:r w:rsidR="00AD595C" w:rsidRPr="00D01B33">
        <w:rPr>
          <w:rFonts w:ascii="Arial" w:hAnsi="Arial" w:cs="Arial"/>
          <w:sz w:val="24"/>
          <w:szCs w:val="24"/>
          <w:lang w:val="ca-ES"/>
        </w:rPr>
        <w:t>.</w:t>
      </w:r>
    </w:p>
    <w:p w:rsidR="00700F14" w:rsidRPr="00D01B33" w:rsidRDefault="00700F14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700F14" w:rsidRPr="00D01B33" w:rsidRDefault="00700F14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AD595C" w:rsidRPr="00D01B33" w:rsidRDefault="00AD595C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lastRenderedPageBreak/>
        <w:t xml:space="preserve">Per tant, com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no té estacionalitat però si que té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tendència</w:t>
      </w:r>
      <w:r w:rsidRPr="00D01B33">
        <w:rPr>
          <w:rFonts w:ascii="Arial" w:hAnsi="Arial" w:cs="Arial"/>
          <w:sz w:val="24"/>
          <w:szCs w:val="24"/>
          <w:lang w:val="ca-ES"/>
        </w:rPr>
        <w:t>, aquestes dades són de Tipus III</w:t>
      </w:r>
      <w:r w:rsidR="00700F14" w:rsidRPr="00D01B33">
        <w:rPr>
          <w:rFonts w:ascii="Arial" w:hAnsi="Arial" w:cs="Arial"/>
          <w:sz w:val="24"/>
          <w:szCs w:val="24"/>
          <w:lang w:val="ca-ES"/>
        </w:rPr>
        <w:t xml:space="preserve"> i per tant es tenen 3 mètodes per realitzar les prediccions:</w:t>
      </w:r>
    </w:p>
    <w:p w:rsidR="00E24B5E" w:rsidRPr="00D01B33" w:rsidRDefault="00E24B5E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700F14" w:rsidRPr="00D01B33" w:rsidRDefault="0062217F" w:rsidP="00700F1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Mètode de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tendència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lineal</w:t>
      </w:r>
    </w:p>
    <w:p w:rsidR="0062217F" w:rsidRPr="00D01B33" w:rsidRDefault="0062217F" w:rsidP="00700F1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>Mètode de les dobles mitjanes mòbils</w:t>
      </w:r>
    </w:p>
    <w:p w:rsidR="0062217F" w:rsidRPr="00D01B33" w:rsidRDefault="0062217F" w:rsidP="00700F1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Mètode de </w:t>
      </w:r>
      <w:r w:rsidR="00D01B33">
        <w:rPr>
          <w:rFonts w:ascii="Arial" w:hAnsi="Arial" w:cs="Arial"/>
          <w:sz w:val="24"/>
          <w:szCs w:val="24"/>
          <w:lang w:val="ca-ES"/>
        </w:rPr>
        <w:t>l’allisat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exponencial</w:t>
      </w:r>
      <w:r w:rsidR="002B6D32" w:rsidRPr="00D01B33">
        <w:rPr>
          <w:rFonts w:ascii="Arial" w:hAnsi="Arial" w:cs="Arial"/>
          <w:sz w:val="24"/>
          <w:szCs w:val="24"/>
          <w:lang w:val="ca-ES"/>
        </w:rPr>
        <w:t xml:space="preserve"> de Holt</w:t>
      </w:r>
    </w:p>
    <w:p w:rsidR="0062217F" w:rsidRPr="00D01B33" w:rsidRDefault="0062217F" w:rsidP="0062217F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62217F" w:rsidRPr="00D01B33" w:rsidRDefault="0062217F" w:rsidP="0062217F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Primer es farà servir el mètode de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tendència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lineal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i es farà una comparació amb el mètode ingenu.</w:t>
      </w:r>
    </w:p>
    <w:p w:rsidR="00E24B5E" w:rsidRPr="00D01B33" w:rsidRDefault="00E24B5E" w:rsidP="0062217F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62217F" w:rsidRPr="00D01B33" w:rsidRDefault="002B6D32" w:rsidP="0062217F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noProof/>
          <w:lang w:val="ca-ES" w:eastAsia="zh-CN"/>
        </w:rPr>
        <w:drawing>
          <wp:inline distT="0" distB="0" distL="0" distR="0">
            <wp:extent cx="5962650" cy="2924175"/>
            <wp:effectExtent l="0" t="0" r="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4B5E" w:rsidRPr="00D01B33" w:rsidRDefault="00E24B5E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AD595C" w:rsidRPr="00D01B33" w:rsidRDefault="00525C00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Primerament amb 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mètode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de la tendència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lineal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la predicció és,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bàsicament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, la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tendència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que presenten les dades i com es pot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veure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al gràfic, és una predicció realment dolenta.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Això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es degut a que les dades es comporten de forma molt diferent entre el primer, segon i tercer terç d’elles.</w:t>
      </w:r>
    </w:p>
    <w:p w:rsidR="00525C00" w:rsidRPr="00D01B33" w:rsidRDefault="00525C00" w:rsidP="003F09B6">
      <w:pPr>
        <w:jc w:val="both"/>
        <w:rPr>
          <w:rFonts w:ascii="Arial" w:eastAsia="Times New Roman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Fent servir aquest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mètode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s’obtenen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uns errors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quadràtics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mitjans</w:t>
      </w:r>
      <w:r w:rsidR="00E24B5E" w:rsidRPr="00D01B33">
        <w:rPr>
          <w:rFonts w:ascii="Arial" w:hAnsi="Arial" w:cs="Arial"/>
          <w:sz w:val="24"/>
          <w:szCs w:val="24"/>
          <w:lang w:val="ca-ES"/>
        </w:rPr>
        <w:t xml:space="preserve"> mostrals i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extra mostrals</w:t>
      </w:r>
      <w:r w:rsidR="00E24B5E" w:rsidRPr="00D01B33">
        <w:rPr>
          <w:rFonts w:ascii="Arial" w:hAnsi="Arial" w:cs="Arial"/>
          <w:sz w:val="24"/>
          <w:szCs w:val="24"/>
          <w:lang w:val="ca-ES"/>
        </w:rPr>
        <w:t xml:space="preserve"> de </w:t>
      </w:r>
      <w:r w:rsidR="00E24B5E" w:rsidRPr="00D01B33">
        <w:rPr>
          <w:rFonts w:ascii="Arial" w:eastAsia="Times New Roman" w:hAnsi="Arial" w:cs="Arial"/>
          <w:sz w:val="24"/>
          <w:szCs w:val="24"/>
          <w:lang w:val="ca-ES"/>
        </w:rPr>
        <w:t xml:space="preserve">6.497 i de 14.131 respectivament i els EPAM mostral i </w:t>
      </w:r>
      <w:r w:rsidR="00D01B33" w:rsidRPr="00D01B33">
        <w:rPr>
          <w:rFonts w:ascii="Arial" w:eastAsia="Times New Roman" w:hAnsi="Arial" w:cs="Arial"/>
          <w:sz w:val="24"/>
          <w:szCs w:val="24"/>
          <w:lang w:val="ca-ES"/>
        </w:rPr>
        <w:t>extra</w:t>
      </w:r>
      <w:r w:rsidR="00E24B5E" w:rsidRPr="00D01B33">
        <w:rPr>
          <w:rFonts w:ascii="Arial" w:eastAsia="Times New Roman" w:hAnsi="Arial" w:cs="Arial"/>
          <w:sz w:val="24"/>
          <w:szCs w:val="24"/>
          <w:lang w:val="ca-ES"/>
        </w:rPr>
        <w:t xml:space="preserve"> són exageradament grans.</w:t>
      </w:r>
    </w:p>
    <w:p w:rsidR="00E24B5E" w:rsidRPr="00D01B33" w:rsidRDefault="00E24B5E" w:rsidP="003F09B6">
      <w:pPr>
        <w:jc w:val="both"/>
        <w:rPr>
          <w:rFonts w:ascii="Arial" w:eastAsia="Times New Roman" w:hAnsi="Arial" w:cs="Arial"/>
          <w:sz w:val="24"/>
          <w:szCs w:val="24"/>
          <w:lang w:val="ca-ES"/>
        </w:rPr>
      </w:pPr>
    </w:p>
    <w:p w:rsidR="00E24B5E" w:rsidRPr="00D01B33" w:rsidRDefault="00E24B5E" w:rsidP="003F09B6">
      <w:pPr>
        <w:jc w:val="both"/>
        <w:rPr>
          <w:rFonts w:ascii="Arial" w:eastAsia="Times New Roman" w:hAnsi="Arial" w:cs="Arial"/>
          <w:sz w:val="24"/>
          <w:szCs w:val="24"/>
          <w:lang w:val="ca-ES"/>
        </w:rPr>
      </w:pPr>
    </w:p>
    <w:p w:rsidR="00E24B5E" w:rsidRPr="00D01B33" w:rsidRDefault="00E24B5E" w:rsidP="003F09B6">
      <w:pPr>
        <w:jc w:val="both"/>
        <w:rPr>
          <w:rFonts w:ascii="Arial" w:eastAsia="Times New Roman" w:hAnsi="Arial" w:cs="Arial"/>
          <w:sz w:val="24"/>
          <w:szCs w:val="24"/>
          <w:lang w:val="ca-ES"/>
        </w:rPr>
      </w:pPr>
    </w:p>
    <w:p w:rsidR="00E24B5E" w:rsidRPr="00D01B33" w:rsidRDefault="00525C00" w:rsidP="003F09B6">
      <w:pPr>
        <w:jc w:val="both"/>
        <w:rPr>
          <w:rFonts w:ascii="Arial" w:eastAsia="Times New Roman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lastRenderedPageBreak/>
        <w:t>Després, es farà servir el mètode ingenu per tal de</w:t>
      </w:r>
      <w:r w:rsidR="00E24B5E" w:rsidRPr="00D01B33">
        <w:rPr>
          <w:rFonts w:ascii="Arial" w:hAnsi="Arial" w:cs="Arial"/>
          <w:sz w:val="24"/>
          <w:szCs w:val="24"/>
          <w:lang w:val="ca-ES"/>
        </w:rPr>
        <w:t xml:space="preserve"> veure com seria la predicció. En aquest cas, l’error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quadràtic</w:t>
      </w:r>
      <w:r w:rsidR="00E24B5E" w:rsidRPr="00D01B33">
        <w:rPr>
          <w:rFonts w:ascii="Arial" w:hAnsi="Arial" w:cs="Arial"/>
          <w:sz w:val="24"/>
          <w:szCs w:val="24"/>
          <w:lang w:val="ca-ES"/>
        </w:rPr>
        <w:t xml:space="preserve"> mitja mostral i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extra</w:t>
      </w:r>
      <w:r w:rsidR="00E24B5E" w:rsidRPr="00D01B33">
        <w:rPr>
          <w:rFonts w:ascii="Arial" w:hAnsi="Arial" w:cs="Arial"/>
          <w:sz w:val="24"/>
          <w:szCs w:val="24"/>
          <w:lang w:val="ca-ES"/>
        </w:rPr>
        <w:t xml:space="preserve"> són de </w:t>
      </w:r>
      <w:r w:rsidR="00E24B5E" w:rsidRPr="00D01B33">
        <w:rPr>
          <w:rFonts w:ascii="Arial" w:eastAsia="Times New Roman" w:hAnsi="Arial" w:cs="Arial"/>
          <w:sz w:val="24"/>
          <w:szCs w:val="24"/>
          <w:lang w:val="ca-ES"/>
        </w:rPr>
        <w:t xml:space="preserve">0.555 i 0.325 respectivament. I els EPAM mostral i </w:t>
      </w:r>
      <w:r w:rsidR="00D01B33" w:rsidRPr="00D01B33">
        <w:rPr>
          <w:rFonts w:ascii="Arial" w:eastAsia="Times New Roman" w:hAnsi="Arial" w:cs="Arial"/>
          <w:sz w:val="24"/>
          <w:szCs w:val="24"/>
          <w:lang w:val="ca-ES"/>
        </w:rPr>
        <w:t>extra</w:t>
      </w:r>
      <w:r w:rsidR="00E24B5E" w:rsidRPr="00D01B33">
        <w:rPr>
          <w:rFonts w:ascii="Arial" w:eastAsia="Times New Roman" w:hAnsi="Arial" w:cs="Arial"/>
          <w:sz w:val="24"/>
          <w:szCs w:val="24"/>
          <w:lang w:val="ca-ES"/>
        </w:rPr>
        <w:t xml:space="preserve"> són molt millors que els del mètode de la </w:t>
      </w:r>
      <w:r w:rsidR="00D01B33" w:rsidRPr="00D01B33">
        <w:rPr>
          <w:rFonts w:ascii="Arial" w:eastAsia="Times New Roman" w:hAnsi="Arial" w:cs="Arial"/>
          <w:sz w:val="24"/>
          <w:szCs w:val="24"/>
          <w:lang w:val="ca-ES"/>
        </w:rPr>
        <w:t>tendència</w:t>
      </w:r>
      <w:r w:rsidR="00E24B5E" w:rsidRPr="00D01B33">
        <w:rPr>
          <w:rFonts w:ascii="Arial" w:eastAsia="Times New Roman" w:hAnsi="Arial" w:cs="Arial"/>
          <w:sz w:val="24"/>
          <w:szCs w:val="24"/>
          <w:lang w:val="ca-ES"/>
        </w:rPr>
        <w:t xml:space="preserve"> lineal però segueixen sense ser suficientment bons. </w:t>
      </w:r>
      <w:r w:rsidR="00D01B33" w:rsidRPr="00D01B33">
        <w:rPr>
          <w:rFonts w:ascii="Arial" w:eastAsia="Times New Roman" w:hAnsi="Arial" w:cs="Arial"/>
          <w:sz w:val="24"/>
          <w:szCs w:val="24"/>
          <w:lang w:val="ca-ES"/>
        </w:rPr>
        <w:t>Que el mètode ingenu sig</w:t>
      </w:r>
      <w:r w:rsidR="00D01B33">
        <w:rPr>
          <w:rFonts w:ascii="Arial" w:eastAsia="Times New Roman" w:hAnsi="Arial" w:cs="Arial"/>
          <w:sz w:val="24"/>
          <w:szCs w:val="24"/>
          <w:lang w:val="ca-ES"/>
        </w:rPr>
        <w:t>ui millor que el de la tendència</w:t>
      </w:r>
      <w:r w:rsidR="00D01B33" w:rsidRPr="00D01B33">
        <w:rPr>
          <w:rFonts w:ascii="Arial" w:eastAsia="Times New Roman" w:hAnsi="Arial" w:cs="Arial"/>
          <w:sz w:val="24"/>
          <w:szCs w:val="24"/>
          <w:lang w:val="ca-ES"/>
        </w:rPr>
        <w:t xml:space="preserve"> lineal te sentit perquè les últimes dades d’aquesta sèrie són relativament semblants i per tant, com s’ha agafar com a període extra dades les quals ja tenia algunes dades anteriors que eren semblants doncs el període extra no és tant diferent.</w:t>
      </w:r>
    </w:p>
    <w:p w:rsidR="00AD595C" w:rsidRPr="00D01B33" w:rsidRDefault="002B6D32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noProof/>
          <w:lang w:val="ca-ES" w:eastAsia="zh-CN"/>
        </w:rPr>
        <w:drawing>
          <wp:inline distT="0" distB="0" distL="0" distR="0">
            <wp:extent cx="6019800" cy="29527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4B5E" w:rsidRPr="00D01B33" w:rsidRDefault="00E24B5E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E24B5E" w:rsidRPr="00D01B33" w:rsidRDefault="00E24B5E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>El se</w:t>
      </w:r>
      <w:r w:rsidR="002B6D32" w:rsidRPr="00D01B33">
        <w:rPr>
          <w:rFonts w:ascii="Arial" w:hAnsi="Arial" w:cs="Arial"/>
          <w:sz w:val="24"/>
          <w:szCs w:val="24"/>
          <w:lang w:val="ca-ES"/>
        </w:rPr>
        <w:t xml:space="preserve">gon mètode que es farà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servir</w:t>
      </w:r>
      <w:r w:rsidR="002B6D32" w:rsidRPr="00D01B33">
        <w:rPr>
          <w:rFonts w:ascii="Arial" w:hAnsi="Arial" w:cs="Arial"/>
          <w:sz w:val="24"/>
          <w:szCs w:val="24"/>
          <w:lang w:val="ca-ES"/>
        </w:rPr>
        <w:t xml:space="preserve"> é</w:t>
      </w:r>
      <w:r w:rsidRPr="00D01B33">
        <w:rPr>
          <w:rFonts w:ascii="Arial" w:hAnsi="Arial" w:cs="Arial"/>
          <w:sz w:val="24"/>
          <w:szCs w:val="24"/>
          <w:lang w:val="ca-ES"/>
        </w:rPr>
        <w:t>s el de les dobles mitjanes mòbils</w:t>
      </w:r>
      <w:r w:rsidR="002B6D32" w:rsidRPr="00D01B33">
        <w:rPr>
          <w:rFonts w:ascii="Arial" w:hAnsi="Arial" w:cs="Arial"/>
          <w:sz w:val="24"/>
          <w:szCs w:val="24"/>
          <w:lang w:val="ca-ES"/>
        </w:rPr>
        <w:t>.</w:t>
      </w:r>
    </w:p>
    <w:p w:rsidR="002B6D32" w:rsidRPr="00D01B33" w:rsidRDefault="002B6D32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noProof/>
          <w:lang w:val="ca-ES" w:eastAsia="zh-CN"/>
        </w:rPr>
        <w:drawing>
          <wp:inline distT="0" distB="0" distL="0" distR="0">
            <wp:extent cx="6029325" cy="291465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B6D32" w:rsidRPr="00D01B33" w:rsidRDefault="002B6D32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lastRenderedPageBreak/>
        <w:t>Fent servir aquest mètode</w:t>
      </w:r>
      <w:r w:rsidR="00C303B5" w:rsidRPr="00D01B33">
        <w:rPr>
          <w:rFonts w:ascii="Arial" w:hAnsi="Arial" w:cs="Arial"/>
          <w:sz w:val="24"/>
          <w:szCs w:val="24"/>
          <w:lang w:val="ca-ES"/>
        </w:rPr>
        <w:t xml:space="preserve"> amb una k=2, que ha sigut el que s’ha vist que dona una millor predicció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, </w:t>
      </w:r>
      <w:r w:rsidR="00C303B5" w:rsidRPr="00D01B33">
        <w:rPr>
          <w:rFonts w:ascii="Arial" w:hAnsi="Arial" w:cs="Arial"/>
          <w:sz w:val="24"/>
          <w:szCs w:val="24"/>
          <w:lang w:val="ca-ES"/>
        </w:rPr>
        <w:t>en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període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mostral l’error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quadràtic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mitja és de 0.499 però el seu EPAM es molt gran,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més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o menys igual que el del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mètode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ingenu però, en canvi, en 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període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extra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l’error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quadràtic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mitja és de 0.163 i el seu EPAM és del 6.3% que és més baix que el dels altres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mètodes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, però segueix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següent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massa gran.</w:t>
      </w:r>
    </w:p>
    <w:p w:rsidR="002B6D32" w:rsidRPr="00D01B33" w:rsidRDefault="002B6D32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2B6D32" w:rsidRPr="00D01B33" w:rsidRDefault="00D01B33" w:rsidP="002B6D32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>L’últim</w:t>
      </w:r>
      <w:r w:rsidR="002B6D32" w:rsidRPr="00D01B33">
        <w:rPr>
          <w:rFonts w:ascii="Arial" w:hAnsi="Arial" w:cs="Arial"/>
          <w:sz w:val="24"/>
          <w:szCs w:val="24"/>
          <w:lang w:val="ca-ES"/>
        </w:rPr>
        <w:t xml:space="preserve"> mètode per fer prediccions per a dades del Tipus III és el de </w:t>
      </w:r>
      <w:r>
        <w:rPr>
          <w:rFonts w:ascii="Arial" w:hAnsi="Arial" w:cs="Arial"/>
          <w:sz w:val="24"/>
          <w:szCs w:val="24"/>
          <w:lang w:val="ca-ES"/>
        </w:rPr>
        <w:t>l’allisat</w:t>
      </w:r>
      <w:r w:rsidR="002B6D32" w:rsidRPr="00D01B33">
        <w:rPr>
          <w:rFonts w:ascii="Arial" w:hAnsi="Arial" w:cs="Arial"/>
          <w:sz w:val="24"/>
          <w:szCs w:val="24"/>
          <w:lang w:val="ca-ES"/>
        </w:rPr>
        <w:t xml:space="preserve"> exponencial de Holt.</w:t>
      </w:r>
    </w:p>
    <w:p w:rsidR="002B6D32" w:rsidRPr="00D01B33" w:rsidRDefault="002B6D32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noProof/>
          <w:lang w:val="ca-ES" w:eastAsia="zh-CN"/>
        </w:rPr>
        <w:drawing>
          <wp:inline distT="0" distB="0" distL="0" distR="0">
            <wp:extent cx="6000750" cy="3019425"/>
            <wp:effectExtent l="0" t="0" r="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B6D32" w:rsidRPr="00D01B33" w:rsidRDefault="00C303B5" w:rsidP="003F09B6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Aquest mètode és el que millor prediu les dades tant en 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període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mostral com en 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període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extra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,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perquè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es pot ajustar tant la alpha com la gamma i fer que la teva predicció sigui el més exacte possible. Així doncs, fent servir una alpha=0.77 i una gamma=0.9,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s’obté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un error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quadràtic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mitja mostral i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extra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de 0.388 i de 0.045, respectivament, i un EPAM mostral del 3%, que es bastant bo, i un EPAM del 4.9% en 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període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extra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que és regular.</w:t>
      </w:r>
    </w:p>
    <w:p w:rsidR="00C303B5" w:rsidRPr="00D01B33" w:rsidRDefault="00C303B5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C303B5" w:rsidRPr="00D01B33" w:rsidRDefault="00C303B5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C303B5" w:rsidRPr="00D01B33" w:rsidRDefault="00C303B5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C303B5" w:rsidRPr="00D01B33" w:rsidRDefault="00C303B5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C303B5" w:rsidRPr="00D01B33" w:rsidRDefault="00C303B5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C303B5" w:rsidRPr="00D01B33" w:rsidRDefault="00C303B5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C303B5" w:rsidRPr="00D01B33" w:rsidRDefault="00C303B5" w:rsidP="003F09B6">
      <w:pPr>
        <w:jc w:val="both"/>
        <w:rPr>
          <w:rFonts w:ascii="Arial" w:hAnsi="Arial" w:cs="Arial"/>
          <w:sz w:val="24"/>
          <w:szCs w:val="24"/>
          <w:lang w:val="ca-ES"/>
        </w:rPr>
      </w:pPr>
    </w:p>
    <w:p w:rsidR="00C303B5" w:rsidRPr="00D01B33" w:rsidRDefault="00C303B5" w:rsidP="00C303B5">
      <w:pPr>
        <w:jc w:val="center"/>
        <w:rPr>
          <w:rFonts w:ascii="Arial" w:hAnsi="Arial" w:cs="Arial"/>
          <w:sz w:val="36"/>
          <w:szCs w:val="24"/>
          <w:lang w:val="ca-ES"/>
        </w:rPr>
      </w:pPr>
      <w:r w:rsidRPr="00D01B33">
        <w:rPr>
          <w:rFonts w:ascii="Arial" w:hAnsi="Arial" w:cs="Arial"/>
          <w:sz w:val="36"/>
          <w:szCs w:val="24"/>
          <w:lang w:val="ca-ES"/>
        </w:rPr>
        <w:lastRenderedPageBreak/>
        <w:t>Conclusions</w:t>
      </w:r>
    </w:p>
    <w:p w:rsidR="00C303B5" w:rsidRPr="00D01B33" w:rsidRDefault="00C303B5" w:rsidP="00C303B5">
      <w:pPr>
        <w:jc w:val="both"/>
        <w:rPr>
          <w:rFonts w:ascii="Arial" w:hAnsi="Arial" w:cs="Arial"/>
          <w:sz w:val="36"/>
          <w:szCs w:val="24"/>
          <w:lang w:val="ca-ES"/>
        </w:rPr>
      </w:pPr>
    </w:p>
    <w:p w:rsidR="00C303B5" w:rsidRPr="00D01B33" w:rsidRDefault="00C303B5" w:rsidP="00C303B5">
      <w:pPr>
        <w:jc w:val="both"/>
        <w:rPr>
          <w:rFonts w:ascii="Arial" w:hAnsi="Arial" w:cs="Arial"/>
          <w:sz w:val="24"/>
          <w:szCs w:val="24"/>
          <w:lang w:val="ca-ES"/>
        </w:rPr>
      </w:pPr>
      <w:r w:rsidRPr="00D01B33">
        <w:rPr>
          <w:rFonts w:ascii="Arial" w:hAnsi="Arial" w:cs="Arial"/>
          <w:sz w:val="24"/>
          <w:szCs w:val="24"/>
          <w:lang w:val="ca-ES"/>
        </w:rPr>
        <w:t xml:space="preserve">Com les dades d’aquesta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sèrie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són tant diferents no es pot treure en clar, amb aquests tipus de mètodes, unes bones prediccions per veure que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passarà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en el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següents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trimestres dels 2017 i en els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següents</w:t>
      </w:r>
      <w:r w:rsidRPr="00D01B33">
        <w:rPr>
          <w:rFonts w:ascii="Arial" w:hAnsi="Arial" w:cs="Arial"/>
          <w:sz w:val="24"/>
          <w:szCs w:val="24"/>
          <w:lang w:val="ca-ES"/>
        </w:rPr>
        <w:t xml:space="preserve"> anys. </w:t>
      </w:r>
      <w:r w:rsidR="004B2A81" w:rsidRPr="00D01B33">
        <w:rPr>
          <w:rFonts w:ascii="Arial" w:hAnsi="Arial" w:cs="Arial"/>
          <w:sz w:val="24"/>
          <w:szCs w:val="24"/>
          <w:lang w:val="ca-ES"/>
        </w:rPr>
        <w:t xml:space="preserve">Només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podríem</w:t>
      </w:r>
      <w:r w:rsidR="004B2A81" w:rsidRPr="00D01B33">
        <w:rPr>
          <w:rFonts w:ascii="Arial" w:hAnsi="Arial" w:cs="Arial"/>
          <w:sz w:val="24"/>
          <w:szCs w:val="24"/>
          <w:lang w:val="ca-ES"/>
        </w:rPr>
        <w:t xml:space="preserve"> acceptar fer servir la predicció que ens dona el mètode de </w:t>
      </w:r>
      <w:r w:rsidR="00D01B33" w:rsidRPr="00D01B33">
        <w:rPr>
          <w:rFonts w:ascii="Arial" w:hAnsi="Arial" w:cs="Arial"/>
          <w:sz w:val="24"/>
          <w:szCs w:val="24"/>
          <w:lang w:val="ca-ES"/>
        </w:rPr>
        <w:t>l’allisat</w:t>
      </w:r>
      <w:r w:rsidR="004B2A81" w:rsidRPr="00D01B33">
        <w:rPr>
          <w:rFonts w:ascii="Arial" w:hAnsi="Arial" w:cs="Arial"/>
          <w:sz w:val="24"/>
          <w:szCs w:val="24"/>
          <w:lang w:val="ca-ES"/>
        </w:rPr>
        <w:t xml:space="preserve"> exponencial de Holt, però tampoc és massa fiable.</w:t>
      </w:r>
      <w:bookmarkStart w:id="0" w:name="_GoBack"/>
      <w:bookmarkEnd w:id="0"/>
    </w:p>
    <w:p w:rsidR="00C303B5" w:rsidRPr="00D01B33" w:rsidRDefault="00C303B5" w:rsidP="00C303B5">
      <w:pPr>
        <w:jc w:val="center"/>
        <w:rPr>
          <w:rFonts w:ascii="Arial" w:hAnsi="Arial" w:cs="Arial"/>
          <w:sz w:val="36"/>
          <w:szCs w:val="24"/>
          <w:lang w:val="ca-ES"/>
        </w:rPr>
      </w:pPr>
    </w:p>
    <w:sectPr w:rsidR="00C303B5" w:rsidRPr="00D01B33" w:rsidSect="00BA3A7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17F" w:rsidRDefault="0070117F" w:rsidP="0070117F">
      <w:pPr>
        <w:spacing w:after="0" w:line="240" w:lineRule="auto"/>
      </w:pPr>
      <w:r>
        <w:separator/>
      </w:r>
    </w:p>
  </w:endnote>
  <w:endnote w:type="continuationSeparator" w:id="0">
    <w:p w:rsidR="0070117F" w:rsidRDefault="0070117F" w:rsidP="0070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17F" w:rsidRDefault="0070117F" w:rsidP="0070117F">
      <w:pPr>
        <w:spacing w:after="0" w:line="240" w:lineRule="auto"/>
      </w:pPr>
      <w:r>
        <w:separator/>
      </w:r>
    </w:p>
  </w:footnote>
  <w:footnote w:type="continuationSeparator" w:id="0">
    <w:p w:rsidR="0070117F" w:rsidRDefault="0070117F" w:rsidP="0070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17F" w:rsidRDefault="0070117F" w:rsidP="00333500">
    <w:pPr>
      <w:pStyle w:val="Encabezado"/>
    </w:pPr>
  </w:p>
  <w:p w:rsidR="00333500" w:rsidRPr="00333500" w:rsidRDefault="00333500" w:rsidP="003335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5587E"/>
    <w:multiLevelType w:val="hybridMultilevel"/>
    <w:tmpl w:val="3A369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E0700"/>
    <w:multiLevelType w:val="hybridMultilevel"/>
    <w:tmpl w:val="6CCC3B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956C5B"/>
    <w:multiLevelType w:val="hybridMultilevel"/>
    <w:tmpl w:val="A064B932"/>
    <w:lvl w:ilvl="0" w:tplc="919CB9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5FA5"/>
    <w:multiLevelType w:val="hybridMultilevel"/>
    <w:tmpl w:val="0ABE5B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17F"/>
    <w:rsid w:val="00000839"/>
    <w:rsid w:val="001A2774"/>
    <w:rsid w:val="002B6D32"/>
    <w:rsid w:val="00333500"/>
    <w:rsid w:val="003F09B6"/>
    <w:rsid w:val="004B2A81"/>
    <w:rsid w:val="00525C00"/>
    <w:rsid w:val="005E669D"/>
    <w:rsid w:val="0062217F"/>
    <w:rsid w:val="00666400"/>
    <w:rsid w:val="00700F14"/>
    <w:rsid w:val="0070117F"/>
    <w:rsid w:val="0071472D"/>
    <w:rsid w:val="00845A55"/>
    <w:rsid w:val="00911981"/>
    <w:rsid w:val="00AD595C"/>
    <w:rsid w:val="00BA3A76"/>
    <w:rsid w:val="00C303B5"/>
    <w:rsid w:val="00D01B33"/>
    <w:rsid w:val="00E24B5E"/>
    <w:rsid w:val="00E3114C"/>
    <w:rsid w:val="00F9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17F"/>
  </w:style>
  <w:style w:type="paragraph" w:styleId="Piedepgina">
    <w:name w:val="footer"/>
    <w:basedOn w:val="Normal"/>
    <w:link w:val="PiedepginaCar"/>
    <w:uiPriority w:val="99"/>
    <w:unhideWhenUsed/>
    <w:rsid w:val="00701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17F"/>
  </w:style>
  <w:style w:type="paragraph" w:styleId="Prrafodelista">
    <w:name w:val="List Paragraph"/>
    <w:basedOn w:val="Normal"/>
    <w:uiPriority w:val="34"/>
    <w:qFormat/>
    <w:rsid w:val="005E66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D:\New%20folder\series\treball%20serie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2" Type="http://schemas.microsoft.com/office/2011/relationships/chartColorStyle" Target="colors2.xml"/><Relationship Id="rId1" Type="http://schemas.openxmlformats.org/officeDocument/2006/relationships/oleObject" Target="file:///D:\New%20folder\series\treball%20serie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Style" Target="style3.xml"/><Relationship Id="rId2" Type="http://schemas.microsoft.com/office/2011/relationships/chartColorStyle" Target="colors3.xml"/><Relationship Id="rId1" Type="http://schemas.openxmlformats.org/officeDocument/2006/relationships/oleObject" Target="file:///D:\New%20folder\series\treball%20serie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Style" Target="style4.xml"/><Relationship Id="rId2" Type="http://schemas.microsoft.com/office/2011/relationships/chartColorStyle" Target="colors4.xml"/><Relationship Id="rId1" Type="http://schemas.openxmlformats.org/officeDocument/2006/relationships/oleObject" Target="file:///D:\New%20folder\series\treball%20series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Style" Target="style5.xml"/><Relationship Id="rId2" Type="http://schemas.microsoft.com/office/2011/relationships/chartColorStyle" Target="colors5.xml"/><Relationship Id="rId1" Type="http://schemas.openxmlformats.org/officeDocument/2006/relationships/oleObject" Target="file:///D:\New%20folder\series\treball%20seri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plotArea>
      <c:layout/>
      <c:lineChart>
        <c:grouping val="standard"/>
        <c:ser>
          <c:idx val="0"/>
          <c:order val="0"/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trendline>
            <c:spPr>
              <a:ln w="22225" cap="rnd">
                <a:solidFill>
                  <a:schemeClr val="accent1"/>
                </a:solidFill>
                <a:prstDash val="dash"/>
                <a:round/>
                <a:headEnd type="none"/>
                <a:tailEnd w="sm" len="sm"/>
              </a:ln>
              <a:effectLst/>
            </c:spPr>
            <c:trendlineType val="linear"/>
          </c:trendline>
          <c:cat>
            <c:strRef>
              <c:f>'T3'!$A$4:$A$57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'T3'!$B$4:$B$57</c:f>
              <c:numCache>
                <c:formatCode>General</c:formatCode>
                <c:ptCount val="54"/>
                <c:pt idx="0">
                  <c:v>3</c:v>
                </c:pt>
                <c:pt idx="1">
                  <c:v>3.1</c:v>
                </c:pt>
                <c:pt idx="2">
                  <c:v>3.5</c:v>
                </c:pt>
                <c:pt idx="3">
                  <c:v>3</c:v>
                </c:pt>
                <c:pt idx="4">
                  <c:v>3.5</c:v>
                </c:pt>
                <c:pt idx="5">
                  <c:v>3.7</c:v>
                </c:pt>
                <c:pt idx="6">
                  <c:v>3.6</c:v>
                </c:pt>
                <c:pt idx="7">
                  <c:v>4.0999999999999996</c:v>
                </c:pt>
                <c:pt idx="8">
                  <c:v>4.2</c:v>
                </c:pt>
                <c:pt idx="9">
                  <c:v>4.2</c:v>
                </c:pt>
                <c:pt idx="10">
                  <c:v>4.2</c:v>
                </c:pt>
                <c:pt idx="11">
                  <c:v>4.0999999999999996</c:v>
                </c:pt>
                <c:pt idx="12">
                  <c:v>4.0999999999999996</c:v>
                </c:pt>
                <c:pt idx="13">
                  <c:v>3.8</c:v>
                </c:pt>
                <c:pt idx="14">
                  <c:v>3.6</c:v>
                </c:pt>
                <c:pt idx="15">
                  <c:v>3.6</c:v>
                </c:pt>
                <c:pt idx="16">
                  <c:v>3</c:v>
                </c:pt>
                <c:pt idx="17">
                  <c:v>2.2000000000000002</c:v>
                </c:pt>
                <c:pt idx="18">
                  <c:v>0.60000000000000009</c:v>
                </c:pt>
                <c:pt idx="19">
                  <c:v>-1.3</c:v>
                </c:pt>
                <c:pt idx="20">
                  <c:v>-3.3</c:v>
                </c:pt>
                <c:pt idx="21">
                  <c:v>-4.3</c:v>
                </c:pt>
                <c:pt idx="22">
                  <c:v>-3.8</c:v>
                </c:pt>
                <c:pt idx="23">
                  <c:v>-2.9</c:v>
                </c:pt>
                <c:pt idx="24">
                  <c:v>-1</c:v>
                </c:pt>
                <c:pt idx="25">
                  <c:v>0.1</c:v>
                </c:pt>
                <c:pt idx="26">
                  <c:v>0.5</c:v>
                </c:pt>
                <c:pt idx="27">
                  <c:v>0.5</c:v>
                </c:pt>
                <c:pt idx="28">
                  <c:v>-0.2</c:v>
                </c:pt>
                <c:pt idx="29">
                  <c:v>-0.8</c:v>
                </c:pt>
                <c:pt idx="30">
                  <c:v>-1.2</c:v>
                </c:pt>
                <c:pt idx="31">
                  <c:v>-1.8</c:v>
                </c:pt>
                <c:pt idx="32">
                  <c:v>-2.2999999999999998</c:v>
                </c:pt>
                <c:pt idx="33">
                  <c:v>-2.7</c:v>
                </c:pt>
                <c:pt idx="34">
                  <c:v>-3.1</c:v>
                </c:pt>
                <c:pt idx="35">
                  <c:v>-3.6</c:v>
                </c:pt>
                <c:pt idx="36">
                  <c:v>-3</c:v>
                </c:pt>
                <c:pt idx="37">
                  <c:v>-2.1</c:v>
                </c:pt>
                <c:pt idx="38">
                  <c:v>-1.5</c:v>
                </c:pt>
                <c:pt idx="39">
                  <c:v>-0.2</c:v>
                </c:pt>
                <c:pt idx="40">
                  <c:v>0.60000000000000009</c:v>
                </c:pt>
                <c:pt idx="41">
                  <c:v>1</c:v>
                </c:pt>
                <c:pt idx="42">
                  <c:v>1.7000000000000002</c:v>
                </c:pt>
                <c:pt idx="43">
                  <c:v>2.2000000000000002</c:v>
                </c:pt>
                <c:pt idx="44">
                  <c:v>2.7</c:v>
                </c:pt>
                <c:pt idx="45">
                  <c:v>3.1</c:v>
                </c:pt>
                <c:pt idx="46">
                  <c:v>3.4</c:v>
                </c:pt>
                <c:pt idx="47">
                  <c:v>3.6</c:v>
                </c:pt>
                <c:pt idx="48">
                  <c:v>3.4</c:v>
                </c:pt>
                <c:pt idx="49">
                  <c:v>3.4</c:v>
                </c:pt>
                <c:pt idx="50">
                  <c:v>3.2</c:v>
                </c:pt>
                <c:pt idx="51">
                  <c:v>3</c:v>
                </c:pt>
                <c:pt idx="52">
                  <c:v>3</c:v>
                </c:pt>
                <c:pt idx="53">
                  <c:v>3.1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E4F-4D83-925B-9F27ED086D51}"/>
            </c:ext>
          </c:extLst>
        </c:ser>
        <c:dLbls/>
        <c:marker val="1"/>
        <c:axId val="76328960"/>
        <c:axId val="76330496"/>
      </c:lineChart>
      <c:catAx>
        <c:axId val="7632896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30496"/>
        <c:crossesAt val="-5"/>
        <c:auto val="1"/>
        <c:lblAlgn val="ctr"/>
        <c:lblOffset val="100"/>
      </c:catAx>
      <c:valAx>
        <c:axId val="763304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328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plotArea>
      <c:layout/>
      <c:lineChart>
        <c:grouping val="standard"/>
        <c:ser>
          <c:idx val="0"/>
          <c:order val="0"/>
          <c:tx>
            <c:v>dades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TL!$A$4:$A$57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TL!$B$4:$B$57</c:f>
              <c:numCache>
                <c:formatCode>General</c:formatCode>
                <c:ptCount val="54"/>
                <c:pt idx="0">
                  <c:v>3</c:v>
                </c:pt>
                <c:pt idx="1">
                  <c:v>3.1</c:v>
                </c:pt>
                <c:pt idx="2">
                  <c:v>3.5</c:v>
                </c:pt>
                <c:pt idx="3">
                  <c:v>3</c:v>
                </c:pt>
                <c:pt idx="4">
                  <c:v>3.5</c:v>
                </c:pt>
                <c:pt idx="5">
                  <c:v>3.7</c:v>
                </c:pt>
                <c:pt idx="6">
                  <c:v>3.6</c:v>
                </c:pt>
                <c:pt idx="7">
                  <c:v>4.0999999999999996</c:v>
                </c:pt>
                <c:pt idx="8">
                  <c:v>4.2</c:v>
                </c:pt>
                <c:pt idx="9">
                  <c:v>4.2</c:v>
                </c:pt>
                <c:pt idx="10">
                  <c:v>4.2</c:v>
                </c:pt>
                <c:pt idx="11">
                  <c:v>4.0999999999999996</c:v>
                </c:pt>
                <c:pt idx="12">
                  <c:v>4.0999999999999996</c:v>
                </c:pt>
                <c:pt idx="13">
                  <c:v>3.8</c:v>
                </c:pt>
                <c:pt idx="14">
                  <c:v>3.6</c:v>
                </c:pt>
                <c:pt idx="15">
                  <c:v>3.6</c:v>
                </c:pt>
                <c:pt idx="16">
                  <c:v>3</c:v>
                </c:pt>
                <c:pt idx="17">
                  <c:v>2.2000000000000002</c:v>
                </c:pt>
                <c:pt idx="18">
                  <c:v>0.60000000000000009</c:v>
                </c:pt>
                <c:pt idx="19">
                  <c:v>-1.3</c:v>
                </c:pt>
                <c:pt idx="20">
                  <c:v>-3.3</c:v>
                </c:pt>
                <c:pt idx="21">
                  <c:v>-4.3</c:v>
                </c:pt>
                <c:pt idx="22">
                  <c:v>-3.8</c:v>
                </c:pt>
                <c:pt idx="23">
                  <c:v>-2.9</c:v>
                </c:pt>
                <c:pt idx="24">
                  <c:v>-1</c:v>
                </c:pt>
                <c:pt idx="25">
                  <c:v>0.1</c:v>
                </c:pt>
                <c:pt idx="26">
                  <c:v>0.5</c:v>
                </c:pt>
                <c:pt idx="27">
                  <c:v>0.5</c:v>
                </c:pt>
                <c:pt idx="28">
                  <c:v>-0.2</c:v>
                </c:pt>
                <c:pt idx="29">
                  <c:v>-0.8</c:v>
                </c:pt>
                <c:pt idx="30">
                  <c:v>-1.2</c:v>
                </c:pt>
                <c:pt idx="31">
                  <c:v>-1.8</c:v>
                </c:pt>
                <c:pt idx="32">
                  <c:v>-2.2999999999999998</c:v>
                </c:pt>
                <c:pt idx="33">
                  <c:v>-2.7</c:v>
                </c:pt>
                <c:pt idx="34">
                  <c:v>-3.1</c:v>
                </c:pt>
                <c:pt idx="35">
                  <c:v>-3.6</c:v>
                </c:pt>
                <c:pt idx="36">
                  <c:v>-3</c:v>
                </c:pt>
                <c:pt idx="37">
                  <c:v>-2.1</c:v>
                </c:pt>
                <c:pt idx="38">
                  <c:v>-1.5</c:v>
                </c:pt>
                <c:pt idx="39">
                  <c:v>-0.2</c:v>
                </c:pt>
                <c:pt idx="40">
                  <c:v>0.60000000000000009</c:v>
                </c:pt>
                <c:pt idx="41">
                  <c:v>1</c:v>
                </c:pt>
                <c:pt idx="42">
                  <c:v>1.7</c:v>
                </c:pt>
                <c:pt idx="43">
                  <c:v>2.2000000000000002</c:v>
                </c:pt>
                <c:pt idx="44">
                  <c:v>2.7</c:v>
                </c:pt>
                <c:pt idx="45">
                  <c:v>3.1</c:v>
                </c:pt>
                <c:pt idx="46">
                  <c:v>3.4</c:v>
                </c:pt>
                <c:pt idx="47">
                  <c:v>3.6</c:v>
                </c:pt>
                <c:pt idx="48">
                  <c:v>3.4</c:v>
                </c:pt>
                <c:pt idx="49">
                  <c:v>3.4</c:v>
                </c:pt>
                <c:pt idx="50">
                  <c:v>3.2</c:v>
                </c:pt>
                <c:pt idx="51">
                  <c:v>3</c:v>
                </c:pt>
                <c:pt idx="52">
                  <c:v>3</c:v>
                </c:pt>
                <c:pt idx="53">
                  <c:v>3.1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4C0-4945-BA58-0E71FB74E51D}"/>
            </c:ext>
          </c:extLst>
        </c:ser>
        <c:ser>
          <c:idx val="1"/>
          <c:order val="1"/>
          <c:tx>
            <c:v>predicció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TL!$A$4:$A$57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TL!$D$4:$D$57</c:f>
              <c:numCache>
                <c:formatCode>0.000</c:formatCode>
                <c:ptCount val="54"/>
                <c:pt idx="0">
                  <c:v>2.6112941176470583</c:v>
                </c:pt>
                <c:pt idx="1">
                  <c:v>2.5473229291716675</c:v>
                </c:pt>
                <c:pt idx="2">
                  <c:v>2.4833517406962784</c:v>
                </c:pt>
                <c:pt idx="3">
                  <c:v>2.4193805522208875</c:v>
                </c:pt>
                <c:pt idx="4">
                  <c:v>2.3554093637454971</c:v>
                </c:pt>
                <c:pt idx="5">
                  <c:v>2.2914381752701067</c:v>
                </c:pt>
                <c:pt idx="6">
                  <c:v>2.2274669867947172</c:v>
                </c:pt>
                <c:pt idx="7">
                  <c:v>2.1634957983193281</c:v>
                </c:pt>
                <c:pt idx="8">
                  <c:v>2.0995246098439373</c:v>
                </c:pt>
                <c:pt idx="9">
                  <c:v>2.0355534213685464</c:v>
                </c:pt>
                <c:pt idx="10">
                  <c:v>1.9715822328931567</c:v>
                </c:pt>
                <c:pt idx="11">
                  <c:v>1.9076110444177665</c:v>
                </c:pt>
                <c:pt idx="12">
                  <c:v>1.8436398559423763</c:v>
                </c:pt>
                <c:pt idx="13">
                  <c:v>1.7796686674669862</c:v>
                </c:pt>
                <c:pt idx="14">
                  <c:v>1.7156974789915962</c:v>
                </c:pt>
                <c:pt idx="15">
                  <c:v>1.651726290516206</c:v>
                </c:pt>
                <c:pt idx="16">
                  <c:v>1.587755102040816</c:v>
                </c:pt>
                <c:pt idx="17">
                  <c:v>1.5237839135654259</c:v>
                </c:pt>
                <c:pt idx="18">
                  <c:v>1.4598127250900359</c:v>
                </c:pt>
                <c:pt idx="19">
                  <c:v>1.3958415366146459</c:v>
                </c:pt>
                <c:pt idx="20">
                  <c:v>1.3318703481392558</c:v>
                </c:pt>
                <c:pt idx="21">
                  <c:v>1.2678991596638656</c:v>
                </c:pt>
                <c:pt idx="22">
                  <c:v>1.2039279711884756</c:v>
                </c:pt>
                <c:pt idx="23">
                  <c:v>1.1399567827130854</c:v>
                </c:pt>
                <c:pt idx="24">
                  <c:v>1.0759855942376952</c:v>
                </c:pt>
                <c:pt idx="25">
                  <c:v>1.0120144057623053</c:v>
                </c:pt>
                <c:pt idx="26">
                  <c:v>0.94804321728691521</c:v>
                </c:pt>
                <c:pt idx="27">
                  <c:v>0.8840720288115248</c:v>
                </c:pt>
                <c:pt idx="28">
                  <c:v>0.82010084033613495</c:v>
                </c:pt>
                <c:pt idx="29">
                  <c:v>0.75612965186074488</c:v>
                </c:pt>
                <c:pt idx="30">
                  <c:v>0.69215846338535481</c:v>
                </c:pt>
                <c:pt idx="31">
                  <c:v>0.62818727490996451</c:v>
                </c:pt>
                <c:pt idx="32">
                  <c:v>0.56421608643457477</c:v>
                </c:pt>
                <c:pt idx="33">
                  <c:v>0.50024489795918436</c:v>
                </c:pt>
                <c:pt idx="34">
                  <c:v>0.43627370948379435</c:v>
                </c:pt>
                <c:pt idx="35">
                  <c:v>0.37230252100840444</c:v>
                </c:pt>
                <c:pt idx="36">
                  <c:v>0.30833133253301387</c:v>
                </c:pt>
                <c:pt idx="37">
                  <c:v>0.24436014405762399</c:v>
                </c:pt>
                <c:pt idx="38">
                  <c:v>0.18038895558223406</c:v>
                </c:pt>
                <c:pt idx="39">
                  <c:v>0.11641776710684403</c:v>
                </c:pt>
                <c:pt idx="40">
                  <c:v>5.2446578631453633E-2</c:v>
                </c:pt>
                <c:pt idx="41">
                  <c:v>-1.1524609843936332E-2</c:v>
                </c:pt>
                <c:pt idx="42">
                  <c:v>-7.5495798319326304E-2</c:v>
                </c:pt>
                <c:pt idx="43">
                  <c:v>-0.13946698679471672</c:v>
                </c:pt>
                <c:pt idx="44">
                  <c:v>-0.20343817527010669</c:v>
                </c:pt>
                <c:pt idx="45">
                  <c:v>-0.26740936374549668</c:v>
                </c:pt>
                <c:pt idx="46">
                  <c:v>-0.33138055222088719</c:v>
                </c:pt>
                <c:pt idx="47">
                  <c:v>-0.39535174069627704</c:v>
                </c:pt>
                <c:pt idx="48">
                  <c:v>-0.45932292917166706</c:v>
                </c:pt>
                <c:pt idx="49">
                  <c:v>-0.52329411764705747</c:v>
                </c:pt>
                <c:pt idx="50">
                  <c:v>-0.58726530612244721</c:v>
                </c:pt>
                <c:pt idx="51">
                  <c:v>-0.65123649459783739</c:v>
                </c:pt>
                <c:pt idx="52">
                  <c:v>-0.71520768307322768</c:v>
                </c:pt>
                <c:pt idx="53">
                  <c:v>-0.77917887154861776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4C0-4945-BA58-0E71FB74E51D}"/>
            </c:ext>
          </c:extLst>
        </c:ser>
        <c:dLbls/>
        <c:marker val="1"/>
        <c:axId val="76627328"/>
        <c:axId val="76641408"/>
      </c:lineChart>
      <c:catAx>
        <c:axId val="7662732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641408"/>
        <c:crossesAt val="-5"/>
        <c:auto val="1"/>
        <c:lblAlgn val="ctr"/>
        <c:lblOffset val="100"/>
      </c:catAx>
      <c:valAx>
        <c:axId val="766414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662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plotArea>
      <c:layout/>
      <c:lineChart>
        <c:grouping val="standard"/>
        <c:ser>
          <c:idx val="0"/>
          <c:order val="0"/>
          <c:tx>
            <c:v>dades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TL!$A$60:$A$113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TL!$B$61:$B$113</c:f>
              <c:numCache>
                <c:formatCode>General</c:formatCode>
                <c:ptCount val="53"/>
                <c:pt idx="0">
                  <c:v>3.1</c:v>
                </c:pt>
                <c:pt idx="1">
                  <c:v>3.5</c:v>
                </c:pt>
                <c:pt idx="2">
                  <c:v>3</c:v>
                </c:pt>
                <c:pt idx="3">
                  <c:v>3.5</c:v>
                </c:pt>
                <c:pt idx="4">
                  <c:v>3.7</c:v>
                </c:pt>
                <c:pt idx="5">
                  <c:v>3.6</c:v>
                </c:pt>
                <c:pt idx="6">
                  <c:v>4.0999999999999996</c:v>
                </c:pt>
                <c:pt idx="7">
                  <c:v>4.2</c:v>
                </c:pt>
                <c:pt idx="8">
                  <c:v>4.2</c:v>
                </c:pt>
                <c:pt idx="9">
                  <c:v>4.2</c:v>
                </c:pt>
                <c:pt idx="10">
                  <c:v>4.0999999999999996</c:v>
                </c:pt>
                <c:pt idx="11">
                  <c:v>4.0999999999999996</c:v>
                </c:pt>
                <c:pt idx="12">
                  <c:v>3.8</c:v>
                </c:pt>
                <c:pt idx="13">
                  <c:v>3.6</c:v>
                </c:pt>
                <c:pt idx="14">
                  <c:v>3.6</c:v>
                </c:pt>
                <c:pt idx="15">
                  <c:v>3</c:v>
                </c:pt>
                <c:pt idx="16">
                  <c:v>2.2000000000000002</c:v>
                </c:pt>
                <c:pt idx="17">
                  <c:v>0.60000000000000009</c:v>
                </c:pt>
                <c:pt idx="18">
                  <c:v>-1.3</c:v>
                </c:pt>
                <c:pt idx="19">
                  <c:v>-3.3</c:v>
                </c:pt>
                <c:pt idx="20">
                  <c:v>-4.3</c:v>
                </c:pt>
                <c:pt idx="21">
                  <c:v>-3.8</c:v>
                </c:pt>
                <c:pt idx="22">
                  <c:v>-2.9</c:v>
                </c:pt>
                <c:pt idx="23">
                  <c:v>-1</c:v>
                </c:pt>
                <c:pt idx="24">
                  <c:v>0.1</c:v>
                </c:pt>
                <c:pt idx="25">
                  <c:v>0.5</c:v>
                </c:pt>
                <c:pt idx="26">
                  <c:v>0.5</c:v>
                </c:pt>
                <c:pt idx="27">
                  <c:v>-0.2</c:v>
                </c:pt>
                <c:pt idx="28">
                  <c:v>-0.8</c:v>
                </c:pt>
                <c:pt idx="29">
                  <c:v>-1.2</c:v>
                </c:pt>
                <c:pt idx="30">
                  <c:v>-1.8</c:v>
                </c:pt>
                <c:pt idx="31">
                  <c:v>-2.2999999999999998</c:v>
                </c:pt>
                <c:pt idx="32">
                  <c:v>-2.7</c:v>
                </c:pt>
                <c:pt idx="33">
                  <c:v>-3.1</c:v>
                </c:pt>
                <c:pt idx="34">
                  <c:v>-3.6</c:v>
                </c:pt>
                <c:pt idx="35">
                  <c:v>-3</c:v>
                </c:pt>
                <c:pt idx="36">
                  <c:v>-2.1</c:v>
                </c:pt>
                <c:pt idx="37">
                  <c:v>-1.5</c:v>
                </c:pt>
                <c:pt idx="38">
                  <c:v>-0.2</c:v>
                </c:pt>
                <c:pt idx="39">
                  <c:v>0.60000000000000009</c:v>
                </c:pt>
                <c:pt idx="40">
                  <c:v>1</c:v>
                </c:pt>
                <c:pt idx="41">
                  <c:v>1.7</c:v>
                </c:pt>
                <c:pt idx="42">
                  <c:v>2.2000000000000002</c:v>
                </c:pt>
                <c:pt idx="43">
                  <c:v>2.7</c:v>
                </c:pt>
                <c:pt idx="44">
                  <c:v>3.1</c:v>
                </c:pt>
                <c:pt idx="45">
                  <c:v>3.4</c:v>
                </c:pt>
                <c:pt idx="46">
                  <c:v>3.6</c:v>
                </c:pt>
                <c:pt idx="47">
                  <c:v>3.4</c:v>
                </c:pt>
                <c:pt idx="48">
                  <c:v>3.4</c:v>
                </c:pt>
                <c:pt idx="49">
                  <c:v>3.2</c:v>
                </c:pt>
                <c:pt idx="50">
                  <c:v>3</c:v>
                </c:pt>
                <c:pt idx="51">
                  <c:v>3</c:v>
                </c:pt>
                <c:pt idx="52">
                  <c:v>3.1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941-4C45-A183-E29D4A0B619A}"/>
            </c:ext>
          </c:extLst>
        </c:ser>
        <c:ser>
          <c:idx val="1"/>
          <c:order val="1"/>
          <c:tx>
            <c:v>predicció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TL!$A$60:$A$113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TL!$C$61:$C$113</c:f>
              <c:numCache>
                <c:formatCode>General</c:formatCode>
                <c:ptCount val="53"/>
                <c:pt idx="0">
                  <c:v>3</c:v>
                </c:pt>
                <c:pt idx="1">
                  <c:v>3.1</c:v>
                </c:pt>
                <c:pt idx="2">
                  <c:v>3.5</c:v>
                </c:pt>
                <c:pt idx="3">
                  <c:v>3</c:v>
                </c:pt>
                <c:pt idx="4">
                  <c:v>3.5</c:v>
                </c:pt>
                <c:pt idx="5">
                  <c:v>3.7</c:v>
                </c:pt>
                <c:pt idx="6">
                  <c:v>3.6</c:v>
                </c:pt>
                <c:pt idx="7">
                  <c:v>4.0999999999999996</c:v>
                </c:pt>
                <c:pt idx="8">
                  <c:v>4.2</c:v>
                </c:pt>
                <c:pt idx="9">
                  <c:v>4.2</c:v>
                </c:pt>
                <c:pt idx="10">
                  <c:v>4.2</c:v>
                </c:pt>
                <c:pt idx="11">
                  <c:v>4.0999999999999996</c:v>
                </c:pt>
                <c:pt idx="12">
                  <c:v>4.0999999999999996</c:v>
                </c:pt>
                <c:pt idx="13">
                  <c:v>3.8</c:v>
                </c:pt>
                <c:pt idx="14">
                  <c:v>3.6</c:v>
                </c:pt>
                <c:pt idx="15">
                  <c:v>3.6</c:v>
                </c:pt>
                <c:pt idx="16">
                  <c:v>3</c:v>
                </c:pt>
                <c:pt idx="17">
                  <c:v>2.2000000000000002</c:v>
                </c:pt>
                <c:pt idx="18">
                  <c:v>0.60000000000000009</c:v>
                </c:pt>
                <c:pt idx="19">
                  <c:v>-1.3</c:v>
                </c:pt>
                <c:pt idx="20">
                  <c:v>-3.3</c:v>
                </c:pt>
                <c:pt idx="21">
                  <c:v>-4.3</c:v>
                </c:pt>
                <c:pt idx="22">
                  <c:v>-3.8</c:v>
                </c:pt>
                <c:pt idx="23">
                  <c:v>-2.9</c:v>
                </c:pt>
                <c:pt idx="24">
                  <c:v>-1</c:v>
                </c:pt>
                <c:pt idx="25">
                  <c:v>0.1</c:v>
                </c:pt>
                <c:pt idx="26">
                  <c:v>0.5</c:v>
                </c:pt>
                <c:pt idx="27">
                  <c:v>0.5</c:v>
                </c:pt>
                <c:pt idx="28">
                  <c:v>-0.2</c:v>
                </c:pt>
                <c:pt idx="29">
                  <c:v>-0.8</c:v>
                </c:pt>
                <c:pt idx="30">
                  <c:v>-1.2</c:v>
                </c:pt>
                <c:pt idx="31">
                  <c:v>-1.8</c:v>
                </c:pt>
                <c:pt idx="32">
                  <c:v>-2.2999999999999998</c:v>
                </c:pt>
                <c:pt idx="33">
                  <c:v>-2.7</c:v>
                </c:pt>
                <c:pt idx="34">
                  <c:v>-3.1</c:v>
                </c:pt>
                <c:pt idx="35">
                  <c:v>-3.6</c:v>
                </c:pt>
                <c:pt idx="36">
                  <c:v>-3</c:v>
                </c:pt>
                <c:pt idx="37">
                  <c:v>-2.1</c:v>
                </c:pt>
                <c:pt idx="38">
                  <c:v>-1.5</c:v>
                </c:pt>
                <c:pt idx="39">
                  <c:v>-0.2</c:v>
                </c:pt>
                <c:pt idx="40">
                  <c:v>0.60000000000000009</c:v>
                </c:pt>
                <c:pt idx="41">
                  <c:v>1</c:v>
                </c:pt>
                <c:pt idx="42">
                  <c:v>1.7</c:v>
                </c:pt>
                <c:pt idx="43">
                  <c:v>2.2000000000000002</c:v>
                </c:pt>
                <c:pt idx="44">
                  <c:v>2.7</c:v>
                </c:pt>
                <c:pt idx="45">
                  <c:v>3.1</c:v>
                </c:pt>
                <c:pt idx="46">
                  <c:v>3.4</c:v>
                </c:pt>
                <c:pt idx="47">
                  <c:v>3.6</c:v>
                </c:pt>
                <c:pt idx="48">
                  <c:v>3.4</c:v>
                </c:pt>
                <c:pt idx="49">
                  <c:v>3.4</c:v>
                </c:pt>
                <c:pt idx="50">
                  <c:v>3.4</c:v>
                </c:pt>
                <c:pt idx="51">
                  <c:v>3.4</c:v>
                </c:pt>
                <c:pt idx="52">
                  <c:v>3.4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941-4C45-A183-E29D4A0B619A}"/>
            </c:ext>
          </c:extLst>
        </c:ser>
        <c:dLbls/>
        <c:marker val="1"/>
        <c:axId val="78040064"/>
        <c:axId val="78045952"/>
      </c:lineChart>
      <c:catAx>
        <c:axId val="780400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8045952"/>
        <c:crossesAt val="-5"/>
        <c:auto val="1"/>
        <c:lblAlgn val="ctr"/>
        <c:lblOffset val="100"/>
      </c:catAx>
      <c:valAx>
        <c:axId val="780459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804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plotArea>
      <c:layout/>
      <c:lineChart>
        <c:grouping val="standard"/>
        <c:ser>
          <c:idx val="0"/>
          <c:order val="0"/>
          <c:tx>
            <c:v>dades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MM!$A$4:$A$57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MM!$B$7:$B$57</c:f>
              <c:numCache>
                <c:formatCode>General</c:formatCode>
                <c:ptCount val="51"/>
                <c:pt idx="0">
                  <c:v>3</c:v>
                </c:pt>
                <c:pt idx="1">
                  <c:v>3.5</c:v>
                </c:pt>
                <c:pt idx="2">
                  <c:v>3.7</c:v>
                </c:pt>
                <c:pt idx="3">
                  <c:v>3.6</c:v>
                </c:pt>
                <c:pt idx="4">
                  <c:v>4.0999999999999996</c:v>
                </c:pt>
                <c:pt idx="5">
                  <c:v>4.2</c:v>
                </c:pt>
                <c:pt idx="6">
                  <c:v>4.2</c:v>
                </c:pt>
                <c:pt idx="7">
                  <c:v>4.2</c:v>
                </c:pt>
                <c:pt idx="8">
                  <c:v>4.0999999999999996</c:v>
                </c:pt>
                <c:pt idx="9">
                  <c:v>4.0999999999999996</c:v>
                </c:pt>
                <c:pt idx="10">
                  <c:v>3.8</c:v>
                </c:pt>
                <c:pt idx="11">
                  <c:v>3.6</c:v>
                </c:pt>
                <c:pt idx="12">
                  <c:v>3.6</c:v>
                </c:pt>
                <c:pt idx="13">
                  <c:v>3</c:v>
                </c:pt>
                <c:pt idx="14">
                  <c:v>2.2000000000000002</c:v>
                </c:pt>
                <c:pt idx="15">
                  <c:v>0.60000000000000009</c:v>
                </c:pt>
                <c:pt idx="16">
                  <c:v>-1.3</c:v>
                </c:pt>
                <c:pt idx="17">
                  <c:v>-3.3</c:v>
                </c:pt>
                <c:pt idx="18">
                  <c:v>-4.3</c:v>
                </c:pt>
                <c:pt idx="19">
                  <c:v>-3.8</c:v>
                </c:pt>
                <c:pt idx="20">
                  <c:v>-2.9</c:v>
                </c:pt>
                <c:pt idx="21">
                  <c:v>-1</c:v>
                </c:pt>
                <c:pt idx="22">
                  <c:v>0.1</c:v>
                </c:pt>
                <c:pt idx="23">
                  <c:v>0.5</c:v>
                </c:pt>
                <c:pt idx="24">
                  <c:v>0.5</c:v>
                </c:pt>
                <c:pt idx="25">
                  <c:v>-0.2</c:v>
                </c:pt>
                <c:pt idx="26">
                  <c:v>-0.8</c:v>
                </c:pt>
                <c:pt idx="27">
                  <c:v>-1.2</c:v>
                </c:pt>
                <c:pt idx="28">
                  <c:v>-1.8</c:v>
                </c:pt>
                <c:pt idx="29">
                  <c:v>-2.2999999999999998</c:v>
                </c:pt>
                <c:pt idx="30">
                  <c:v>-2.7</c:v>
                </c:pt>
                <c:pt idx="31">
                  <c:v>-3.1</c:v>
                </c:pt>
                <c:pt idx="32">
                  <c:v>-3.6</c:v>
                </c:pt>
                <c:pt idx="33">
                  <c:v>-3</c:v>
                </c:pt>
                <c:pt idx="34">
                  <c:v>-2.1</c:v>
                </c:pt>
                <c:pt idx="35">
                  <c:v>-1.5</c:v>
                </c:pt>
                <c:pt idx="36">
                  <c:v>-0.2</c:v>
                </c:pt>
                <c:pt idx="37">
                  <c:v>0.60000000000000009</c:v>
                </c:pt>
                <c:pt idx="38">
                  <c:v>1</c:v>
                </c:pt>
                <c:pt idx="39">
                  <c:v>1.7</c:v>
                </c:pt>
                <c:pt idx="40">
                  <c:v>2.2000000000000002</c:v>
                </c:pt>
                <c:pt idx="41">
                  <c:v>2.7</c:v>
                </c:pt>
                <c:pt idx="42">
                  <c:v>3.1</c:v>
                </c:pt>
                <c:pt idx="43">
                  <c:v>3.4</c:v>
                </c:pt>
                <c:pt idx="44">
                  <c:v>3.6</c:v>
                </c:pt>
                <c:pt idx="45">
                  <c:v>3.4</c:v>
                </c:pt>
                <c:pt idx="46">
                  <c:v>3.4</c:v>
                </c:pt>
                <c:pt idx="47">
                  <c:v>3.2</c:v>
                </c:pt>
                <c:pt idx="48">
                  <c:v>3</c:v>
                </c:pt>
                <c:pt idx="49">
                  <c:v>3</c:v>
                </c:pt>
                <c:pt idx="50">
                  <c:v>3.1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90-4D99-97A8-6F3930B173A2}"/>
            </c:ext>
          </c:extLst>
        </c:ser>
        <c:ser>
          <c:idx val="1"/>
          <c:order val="1"/>
          <c:tx>
            <c:v>predicció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MM!$A$4:$A$57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MM!$G$7:$G$57</c:f>
              <c:numCache>
                <c:formatCode>0.000</c:formatCode>
                <c:ptCount val="51"/>
                <c:pt idx="0">
                  <c:v>3.5083333333333337</c:v>
                </c:pt>
                <c:pt idx="1">
                  <c:v>3.2083333333333339</c:v>
                </c:pt>
                <c:pt idx="2">
                  <c:v>3.25</c:v>
                </c:pt>
                <c:pt idx="3">
                  <c:v>3.8916666666666666</c:v>
                </c:pt>
                <c:pt idx="4">
                  <c:v>3.6916666666666678</c:v>
                </c:pt>
                <c:pt idx="5">
                  <c:v>4.0166666666666666</c:v>
                </c:pt>
                <c:pt idx="6">
                  <c:v>4.4000000000000012</c:v>
                </c:pt>
                <c:pt idx="7">
                  <c:v>4.2416666666666671</c:v>
                </c:pt>
                <c:pt idx="8">
                  <c:v>4.2</c:v>
                </c:pt>
                <c:pt idx="9">
                  <c:v>4.1083333333333334</c:v>
                </c:pt>
                <c:pt idx="10">
                  <c:v>4.0583333333333336</c:v>
                </c:pt>
                <c:pt idx="11">
                  <c:v>3.8249999999999997</c:v>
                </c:pt>
                <c:pt idx="12">
                  <c:v>3.4916666666666667</c:v>
                </c:pt>
                <c:pt idx="13">
                  <c:v>3.5166666666666657</c:v>
                </c:pt>
                <c:pt idx="14">
                  <c:v>3.0499999999999994</c:v>
                </c:pt>
                <c:pt idx="15">
                  <c:v>2.0166666666666662</c:v>
                </c:pt>
                <c:pt idx="16">
                  <c:v>0.40000000000000036</c:v>
                </c:pt>
                <c:pt idx="17">
                  <c:v>-1.8083333333333333</c:v>
                </c:pt>
                <c:pt idx="18">
                  <c:v>-3.9249999999999994</c:v>
                </c:pt>
                <c:pt idx="19">
                  <c:v>-5.05</c:v>
                </c:pt>
                <c:pt idx="20">
                  <c:v>-4.2583333333333337</c:v>
                </c:pt>
                <c:pt idx="21">
                  <c:v>-2.7666666666666662</c:v>
                </c:pt>
                <c:pt idx="22">
                  <c:v>-0.78333333333333344</c:v>
                </c:pt>
                <c:pt idx="23">
                  <c:v>0.79999999999999993</c:v>
                </c:pt>
                <c:pt idx="24">
                  <c:v>0.92500000000000004</c:v>
                </c:pt>
                <c:pt idx="25">
                  <c:v>0.66666666666666663</c:v>
                </c:pt>
                <c:pt idx="26">
                  <c:v>-0.14166666666666669</c:v>
                </c:pt>
                <c:pt idx="27">
                  <c:v>-1.0416666666666663</c:v>
                </c:pt>
                <c:pt idx="28">
                  <c:v>-1.4166666666666665</c:v>
                </c:pt>
                <c:pt idx="29">
                  <c:v>-1.9166666666666667</c:v>
                </c:pt>
                <c:pt idx="30">
                  <c:v>-2.5083333333333333</c:v>
                </c:pt>
                <c:pt idx="31">
                  <c:v>-2.8749999999999996</c:v>
                </c:pt>
                <c:pt idx="32">
                  <c:v>-3.2333333333333343</c:v>
                </c:pt>
                <c:pt idx="33">
                  <c:v>-3.7250000000000001</c:v>
                </c:pt>
                <c:pt idx="34">
                  <c:v>-3.2583333333333329</c:v>
                </c:pt>
                <c:pt idx="35">
                  <c:v>-1.9249999999999998</c:v>
                </c:pt>
                <c:pt idx="36">
                  <c:v>-1.1750000000000005</c:v>
                </c:pt>
                <c:pt idx="37">
                  <c:v>-5.8333333333333369E-2</c:v>
                </c:pt>
                <c:pt idx="38">
                  <c:v>1.075</c:v>
                </c:pt>
                <c:pt idx="39">
                  <c:v>1.3</c:v>
                </c:pt>
                <c:pt idx="40">
                  <c:v>1.8083333333333333</c:v>
                </c:pt>
                <c:pt idx="41">
                  <c:v>2.4499999999999997</c:v>
                </c:pt>
                <c:pt idx="42">
                  <c:v>2.8666666666666667</c:v>
                </c:pt>
                <c:pt idx="43">
                  <c:v>3.2750000000000004</c:v>
                </c:pt>
                <c:pt idx="44">
                  <c:v>3.5416666666666665</c:v>
                </c:pt>
                <c:pt idx="45">
                  <c:v>4.291666666666667</c:v>
                </c:pt>
                <c:pt idx="46">
                  <c:v>3.5</c:v>
                </c:pt>
                <c:pt idx="47">
                  <c:v>3.3166666666666655</c:v>
                </c:pt>
                <c:pt idx="48">
                  <c:v>3.2833333333333337</c:v>
                </c:pt>
                <c:pt idx="49">
                  <c:v>3.2499999999999991</c:v>
                </c:pt>
                <c:pt idx="50">
                  <c:v>3.216666666666665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D90-4D99-97A8-6F3930B173A2}"/>
            </c:ext>
          </c:extLst>
        </c:ser>
        <c:dLbls/>
        <c:marker val="1"/>
        <c:axId val="79387264"/>
        <c:axId val="79393152"/>
      </c:lineChart>
      <c:catAx>
        <c:axId val="793872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9393152"/>
        <c:crossesAt val="-6"/>
        <c:auto val="1"/>
        <c:lblAlgn val="ctr"/>
        <c:lblOffset val="100"/>
      </c:catAx>
      <c:valAx>
        <c:axId val="7939315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7938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ES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plotArea>
      <c:layout/>
      <c:lineChart>
        <c:grouping val="standard"/>
        <c:ser>
          <c:idx val="0"/>
          <c:order val="0"/>
          <c:tx>
            <c:v>dades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AEH!$A$5:$A$58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AEH!$B$6:$B$58</c:f>
              <c:numCache>
                <c:formatCode>General</c:formatCode>
                <c:ptCount val="53"/>
                <c:pt idx="0">
                  <c:v>3.1</c:v>
                </c:pt>
                <c:pt idx="1">
                  <c:v>3.5</c:v>
                </c:pt>
                <c:pt idx="2">
                  <c:v>3</c:v>
                </c:pt>
                <c:pt idx="3">
                  <c:v>3.5</c:v>
                </c:pt>
                <c:pt idx="4">
                  <c:v>3.7</c:v>
                </c:pt>
                <c:pt idx="5">
                  <c:v>3.6</c:v>
                </c:pt>
                <c:pt idx="6">
                  <c:v>4.0999999999999996</c:v>
                </c:pt>
                <c:pt idx="7">
                  <c:v>4.2</c:v>
                </c:pt>
                <c:pt idx="8">
                  <c:v>4.2</c:v>
                </c:pt>
                <c:pt idx="9">
                  <c:v>4.2</c:v>
                </c:pt>
                <c:pt idx="10">
                  <c:v>4.0999999999999996</c:v>
                </c:pt>
                <c:pt idx="11">
                  <c:v>4.0999999999999996</c:v>
                </c:pt>
                <c:pt idx="12">
                  <c:v>3.8</c:v>
                </c:pt>
                <c:pt idx="13">
                  <c:v>3.6</c:v>
                </c:pt>
                <c:pt idx="14">
                  <c:v>3.6</c:v>
                </c:pt>
                <c:pt idx="15">
                  <c:v>3</c:v>
                </c:pt>
                <c:pt idx="16">
                  <c:v>2.2000000000000002</c:v>
                </c:pt>
                <c:pt idx="17">
                  <c:v>0.60000000000000009</c:v>
                </c:pt>
                <c:pt idx="18">
                  <c:v>-1.3</c:v>
                </c:pt>
                <c:pt idx="19">
                  <c:v>-3.3</c:v>
                </c:pt>
                <c:pt idx="20">
                  <c:v>-4.3</c:v>
                </c:pt>
                <c:pt idx="21">
                  <c:v>-3.8</c:v>
                </c:pt>
                <c:pt idx="22">
                  <c:v>-2.9</c:v>
                </c:pt>
                <c:pt idx="23">
                  <c:v>-1</c:v>
                </c:pt>
                <c:pt idx="24">
                  <c:v>0.1</c:v>
                </c:pt>
                <c:pt idx="25">
                  <c:v>0.5</c:v>
                </c:pt>
                <c:pt idx="26">
                  <c:v>0.5</c:v>
                </c:pt>
                <c:pt idx="27">
                  <c:v>-0.2</c:v>
                </c:pt>
                <c:pt idx="28">
                  <c:v>-0.8</c:v>
                </c:pt>
                <c:pt idx="29">
                  <c:v>-1.2</c:v>
                </c:pt>
                <c:pt idx="30">
                  <c:v>-1.8</c:v>
                </c:pt>
                <c:pt idx="31">
                  <c:v>-2.2999999999999998</c:v>
                </c:pt>
                <c:pt idx="32">
                  <c:v>-2.7</c:v>
                </c:pt>
                <c:pt idx="33">
                  <c:v>-3.1</c:v>
                </c:pt>
                <c:pt idx="34">
                  <c:v>-3.6</c:v>
                </c:pt>
                <c:pt idx="35">
                  <c:v>-3</c:v>
                </c:pt>
                <c:pt idx="36">
                  <c:v>-2.1</c:v>
                </c:pt>
                <c:pt idx="37">
                  <c:v>-1.5</c:v>
                </c:pt>
                <c:pt idx="38">
                  <c:v>-0.2</c:v>
                </c:pt>
                <c:pt idx="39">
                  <c:v>0.60000000000000009</c:v>
                </c:pt>
                <c:pt idx="40">
                  <c:v>1</c:v>
                </c:pt>
                <c:pt idx="41">
                  <c:v>1.7</c:v>
                </c:pt>
                <c:pt idx="42">
                  <c:v>2.2000000000000002</c:v>
                </c:pt>
                <c:pt idx="43">
                  <c:v>2.7</c:v>
                </c:pt>
                <c:pt idx="44">
                  <c:v>3.1</c:v>
                </c:pt>
                <c:pt idx="45">
                  <c:v>3.4</c:v>
                </c:pt>
                <c:pt idx="46">
                  <c:v>3.6</c:v>
                </c:pt>
                <c:pt idx="47">
                  <c:v>3.4</c:v>
                </c:pt>
                <c:pt idx="48">
                  <c:v>3.4</c:v>
                </c:pt>
                <c:pt idx="49">
                  <c:v>3.2</c:v>
                </c:pt>
                <c:pt idx="50">
                  <c:v>3</c:v>
                </c:pt>
                <c:pt idx="51">
                  <c:v>3</c:v>
                </c:pt>
                <c:pt idx="52">
                  <c:v>3.1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F01-4CAB-BC5F-2E4FFB10580F}"/>
            </c:ext>
          </c:extLst>
        </c:ser>
        <c:ser>
          <c:idx val="1"/>
          <c:order val="1"/>
          <c:tx>
            <c:v>predicció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AEH!$A$5:$A$58</c:f>
              <c:strCache>
                <c:ptCount val="54"/>
                <c:pt idx="0">
                  <c:v>2004.1</c:v>
                </c:pt>
                <c:pt idx="1">
                  <c:v>2004.2</c:v>
                </c:pt>
                <c:pt idx="2">
                  <c:v>2004.3</c:v>
                </c:pt>
                <c:pt idx="3">
                  <c:v>2004.4</c:v>
                </c:pt>
                <c:pt idx="4">
                  <c:v>2005.1</c:v>
                </c:pt>
                <c:pt idx="5">
                  <c:v>2005.2</c:v>
                </c:pt>
                <c:pt idx="6">
                  <c:v>2005.3</c:v>
                </c:pt>
                <c:pt idx="7">
                  <c:v>2005.4</c:v>
                </c:pt>
                <c:pt idx="8">
                  <c:v>2006.1</c:v>
                </c:pt>
                <c:pt idx="9">
                  <c:v>2006.2</c:v>
                </c:pt>
                <c:pt idx="10">
                  <c:v>2006.3</c:v>
                </c:pt>
                <c:pt idx="11">
                  <c:v>2006.4</c:v>
                </c:pt>
                <c:pt idx="12">
                  <c:v>2007.1</c:v>
                </c:pt>
                <c:pt idx="13">
                  <c:v>2007.2</c:v>
                </c:pt>
                <c:pt idx="14">
                  <c:v>2007.3</c:v>
                </c:pt>
                <c:pt idx="15">
                  <c:v>2007.4</c:v>
                </c:pt>
                <c:pt idx="16">
                  <c:v>2008.1</c:v>
                </c:pt>
                <c:pt idx="17">
                  <c:v>2008.2</c:v>
                </c:pt>
                <c:pt idx="18">
                  <c:v>2008.3</c:v>
                </c:pt>
                <c:pt idx="19">
                  <c:v>2008.4</c:v>
                </c:pt>
                <c:pt idx="20">
                  <c:v>2009.1</c:v>
                </c:pt>
                <c:pt idx="21">
                  <c:v>2009.2</c:v>
                </c:pt>
                <c:pt idx="22">
                  <c:v>2009.3</c:v>
                </c:pt>
                <c:pt idx="23">
                  <c:v>2009.4</c:v>
                </c:pt>
                <c:pt idx="24">
                  <c:v>2010.1</c:v>
                </c:pt>
                <c:pt idx="25">
                  <c:v>2010.2</c:v>
                </c:pt>
                <c:pt idx="26">
                  <c:v>2010.3</c:v>
                </c:pt>
                <c:pt idx="27">
                  <c:v>2010.4</c:v>
                </c:pt>
                <c:pt idx="28">
                  <c:v>2011.1</c:v>
                </c:pt>
                <c:pt idx="29">
                  <c:v>2011.2</c:v>
                </c:pt>
                <c:pt idx="30">
                  <c:v>2011.3</c:v>
                </c:pt>
                <c:pt idx="31">
                  <c:v>2011.4</c:v>
                </c:pt>
                <c:pt idx="32">
                  <c:v>2012.1</c:v>
                </c:pt>
                <c:pt idx="33">
                  <c:v>2012.2</c:v>
                </c:pt>
                <c:pt idx="34">
                  <c:v>2012.3</c:v>
                </c:pt>
                <c:pt idx="35">
                  <c:v>2012.4</c:v>
                </c:pt>
                <c:pt idx="36">
                  <c:v>2013.1</c:v>
                </c:pt>
                <c:pt idx="37">
                  <c:v>2013.2</c:v>
                </c:pt>
                <c:pt idx="38">
                  <c:v>2013.3</c:v>
                </c:pt>
                <c:pt idx="39">
                  <c:v>2013.4</c:v>
                </c:pt>
                <c:pt idx="40">
                  <c:v>2014.1</c:v>
                </c:pt>
                <c:pt idx="41">
                  <c:v>2014.2</c:v>
                </c:pt>
                <c:pt idx="42">
                  <c:v>2014.3</c:v>
                </c:pt>
                <c:pt idx="43">
                  <c:v>2014.4</c:v>
                </c:pt>
                <c:pt idx="44">
                  <c:v>2015.1</c:v>
                </c:pt>
                <c:pt idx="45">
                  <c:v>2015.2</c:v>
                </c:pt>
                <c:pt idx="46">
                  <c:v>2015.3</c:v>
                </c:pt>
                <c:pt idx="47">
                  <c:v>2015.4</c:v>
                </c:pt>
                <c:pt idx="48">
                  <c:v>2016.1</c:v>
                </c:pt>
                <c:pt idx="49">
                  <c:v>2016.2</c:v>
                </c:pt>
                <c:pt idx="50">
                  <c:v>2016.3</c:v>
                </c:pt>
                <c:pt idx="51">
                  <c:v>2016.4</c:v>
                </c:pt>
                <c:pt idx="52">
                  <c:v>2017.1</c:v>
                </c:pt>
                <c:pt idx="53">
                  <c:v>2017.2</c:v>
                </c:pt>
              </c:strCache>
            </c:strRef>
          </c:cat>
          <c:val>
            <c:numRef>
              <c:f>AEH!$E$6:$E$58</c:f>
              <c:numCache>
                <c:formatCode>0.000</c:formatCode>
                <c:ptCount val="53"/>
                <c:pt idx="0">
                  <c:v>3</c:v>
                </c:pt>
                <c:pt idx="1">
                  <c:v>3.1463000000000001</c:v>
                </c:pt>
                <c:pt idx="2">
                  <c:v>3.7330631000000007</c:v>
                </c:pt>
                <c:pt idx="3">
                  <c:v>2.9750058846999994</c:v>
                </c:pt>
                <c:pt idx="4">
                  <c:v>3.5494736470839001</c:v>
                </c:pt>
                <c:pt idx="5">
                  <c:v>3.9399159950030542</c:v>
                </c:pt>
                <c:pt idx="6">
                  <c:v>3.7171559504873444</c:v>
                </c:pt>
                <c:pt idx="7">
                  <c:v>4.3162320665609988</c:v>
                </c:pt>
                <c:pt idx="8">
                  <c:v>4.4504707511311699</c:v>
                </c:pt>
                <c:pt idx="9">
                  <c:v>4.3077694180484087</c:v>
                </c:pt>
                <c:pt idx="10">
                  <c:v>4.2002639047318286</c:v>
                </c:pt>
                <c:pt idx="11">
                  <c:v>4.0290547506898555</c:v>
                </c:pt>
                <c:pt idx="12">
                  <c:v>4.0388417030321344</c:v>
                </c:pt>
                <c:pt idx="13">
                  <c:v>3.6445754018695879</c:v>
                </c:pt>
                <c:pt idx="14">
                  <c:v>3.3690033991065782</c:v>
                </c:pt>
                <c:pt idx="15">
                  <c:v>3.4657024828902276</c:v>
                </c:pt>
                <c:pt idx="16">
                  <c:v>2.7032114515175403</c:v>
                </c:pt>
                <c:pt idx="17">
                  <c:v>1.5631129784001665</c:v>
                </c:pt>
                <c:pt idx="18">
                  <c:v>-0.59854696444814504</c:v>
                </c:pt>
                <c:pt idx="19">
                  <c:v>-3.0448357049406929</c:v>
                </c:pt>
                <c:pt idx="20">
                  <c:v>-5.3243109717300765</c:v>
                </c:pt>
                <c:pt idx="21">
                  <c:v>-5.9087427796826946</c:v>
                </c:pt>
                <c:pt idx="22">
                  <c:v>-4.1968033491916881</c:v>
                </c:pt>
                <c:pt idx="23">
                  <c:v>-2.2113725591889173</c:v>
                </c:pt>
                <c:pt idx="24">
                  <c:v>0.54775770602963958</c:v>
                </c:pt>
                <c:pt idx="25">
                  <c:v>1.7190615767513675</c:v>
                </c:pt>
                <c:pt idx="26">
                  <c:v>1.4516517943286671</c:v>
                </c:pt>
                <c:pt idx="27">
                  <c:v>0.73065285090167997</c:v>
                </c:pt>
                <c:pt idx="28">
                  <c:v>-0.61911933176139167</c:v>
                </c:pt>
                <c:pt idx="29">
                  <c:v>-1.516917236863254</c:v>
                </c:pt>
                <c:pt idx="30">
                  <c:v>-1.811787109890447</c:v>
                </c:pt>
                <c:pt idx="31">
                  <c:v>-2.3334387135326211</c:v>
                </c:pt>
                <c:pt idx="32">
                  <c:v>-2.8152455538922139</c:v>
                </c:pt>
                <c:pt idx="33">
                  <c:v>-3.1541959583276173</c:v>
                </c:pt>
                <c:pt idx="34">
                  <c:v>-3.502596752226721</c:v>
                </c:pt>
                <c:pt idx="35">
                  <c:v>-4.0352293855303989</c:v>
                </c:pt>
                <c:pt idx="36">
                  <c:v>-2.9783209270176783</c:v>
                </c:pt>
                <c:pt idx="37">
                  <c:v>-1.433555579136502</c:v>
                </c:pt>
                <c:pt idx="38">
                  <c:v>-0.66230553278223558</c:v>
                </c:pt>
                <c:pt idx="39">
                  <c:v>0.83645971209733494</c:v>
                </c:pt>
                <c:pt idx="40">
                  <c:v>1.633309137936183</c:v>
                </c:pt>
                <c:pt idx="41">
                  <c:v>1.6857012732893428</c:v>
                </c:pt>
                <c:pt idx="42">
                  <c:v>2.2466604820310554</c:v>
                </c:pt>
                <c:pt idx="43">
                  <c:v>2.7283453859941273</c:v>
                </c:pt>
                <c:pt idx="44">
                  <c:v>3.2044895614117048</c:v>
                </c:pt>
                <c:pt idx="45">
                  <c:v>3.5495914556994359</c:v>
                </c:pt>
                <c:pt idx="46">
                  <c:v>3.7562980125859045</c:v>
                </c:pt>
                <c:pt idx="47">
                  <c:v>3.8495259979477612</c:v>
                </c:pt>
                <c:pt idx="48">
                  <c:v>3.4054469180031881</c:v>
                </c:pt>
                <c:pt idx="49">
                  <c:v>3.2995340154397272</c:v>
                </c:pt>
                <c:pt idx="50">
                  <c:v>3.1978152397387203</c:v>
                </c:pt>
                <c:pt idx="51">
                  <c:v>3.0960964640377147</c:v>
                </c:pt>
                <c:pt idx="52">
                  <c:v>2.994377688336709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F01-4CAB-BC5F-2E4FFB10580F}"/>
            </c:ext>
          </c:extLst>
        </c:ser>
        <c:dLbls/>
        <c:marker val="1"/>
        <c:axId val="80099584"/>
        <c:axId val="80117760"/>
      </c:lineChart>
      <c:catAx>
        <c:axId val="8009958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117760"/>
        <c:crossesAt val="-8"/>
        <c:auto val="1"/>
        <c:lblAlgn val="ctr"/>
        <c:lblOffset val="100"/>
      </c:catAx>
      <c:valAx>
        <c:axId val="801177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8009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981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FME</dc:creator>
  <cp:lastModifiedBy>VICTOR</cp:lastModifiedBy>
  <cp:revision>6</cp:revision>
  <cp:lastPrinted>2017-11-08T20:28:00Z</cp:lastPrinted>
  <dcterms:created xsi:type="dcterms:W3CDTF">2017-11-06T19:07:00Z</dcterms:created>
  <dcterms:modified xsi:type="dcterms:W3CDTF">2017-11-08T20:28:00Z</dcterms:modified>
</cp:coreProperties>
</file>