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120"/>
        <w:jc w:val="center"/>
      </w:pPr>
      <w:r>
        <w:rPr>
          <w:b/>
          <w:bCs/>
          <w:sz w:val="26"/>
          <w:szCs w:val="26"/>
        </w:rPr>
        <w:t xml:space="preserve">INSTITUCIÓN UNIVERSITARIA ANTONIO JOSÉ CAMACHO</w:t>
      </w:r>
    </w:p>
    <w:p>
      <w:pPr>
        <w:spacing w:after="120"/>
        <w:jc w:val="center"/>
      </w:pPr>
      <w:r>
        <w:rPr>
          <w:sz w:val="24"/>
          <w:szCs w:val="24"/>
        </w:rPr>
        <w:t xml:space="preserve">Facultad de Ingenierías</w:t>
      </w:r>
    </w:p>
    <w:p>
      <w:pPr>
        <w:spacing w:after="120"/>
        <w:jc w:val="center"/>
      </w:pPr>
      <w:r>
        <w:rPr>
          <w:sz w:val="24"/>
          <w:szCs w:val="24"/>
        </w:rPr>
        <w:t xml:space="preserve">Ingeniería de Sistemas</w:t>
      </w:r>
    </w:p>
    <w:p>
      <w:pPr>
        <w:spacing w:before="1000"/>
      </w:pPr>
    </w:p>
    <w:p>
      <w:pPr>
        <w:spacing w:after="120"/>
        <w:jc w:val="center"/>
      </w:pPr>
      <w:r>
        <w:rPr>
          <w:b/>
          <w:bCs/>
          <w:color w:val="1F3A5F"/>
          <w:sz w:val="36"/>
          <w:szCs w:val="36"/>
        </w:rPr>
        <w:t xml:space="preserve">Estructura de Microservicios de la EPS</w:t>
      </w:r>
    </w:p>
    <w:p>
      <w:pPr>
        <w:spacing w:after="120"/>
        <w:jc w:val="center"/>
      </w:pPr>
      <w:r>
        <w:rPr>
          <w:i/>
          <w:iCs/>
          <w:sz w:val="24"/>
          <w:szCs w:val="24"/>
        </w:rPr>
        <w:t xml:space="preserve">Taller de control de versiones con Git y GitHub</w:t>
      </w:r>
    </w:p>
    <w:p>
      <w:pPr>
        <w:spacing w:before="1000"/>
      </w:pPr>
    </w:p>
    <w:p>
      <w:pPr>
        <w:spacing w:after="120"/>
        <w:jc w:val="center"/>
      </w:pPr>
      <w:r>
        <w:rPr>
          <w:b/>
          <w:bCs/>
          <w:sz w:val="24"/>
          <w:szCs w:val="24"/>
        </w:rPr>
        <w:t xml:space="preserve">Laura Juliana Villafañe López</w:t>
      </w:r>
    </w:p>
    <w:p>
      <w:pPr>
        <w:spacing w:after="120"/>
        <w:jc w:val="center"/>
      </w:pPr>
      <w:r>
        <w:rPr>
          <w:sz w:val="22"/>
          <w:szCs w:val="22"/>
        </w:rPr>
        <w:t xml:space="preserve">Usuario GitHub: laurajuliana2407-lab</w:t>
      </w:r>
    </w:p>
    <w:p>
      <w:pPr>
        <w:spacing w:after="120"/>
        <w:jc w:val="center"/>
      </w:pPr>
      <w:r>
        <w:rPr>
          <w:sz w:val="22"/>
          <w:szCs w:val="22"/>
        </w:rPr>
        <w:t xml:space="preserve">Repositorio: evaluacionGit</w:t>
      </w:r>
    </w:p>
    <w:p>
      <w:pPr>
        <w:spacing w:before="600"/>
      </w:pPr>
    </w:p>
    <w:p>
      <w:pPr>
        <w:spacing w:after="120"/>
        <w:jc w:val="center"/>
      </w:pPr>
      <w:r>
        <w:rPr>
          <w:sz w:val="22"/>
          <w:szCs w:val="22"/>
        </w:rPr>
        <w:t xml:space="preserve">Ingeniería de Software III</w:t>
      </w:r>
    </w:p>
    <w:p>
      <w:pPr>
        <w:spacing w:after="120"/>
        <w:jc w:val="center"/>
      </w:pPr>
      <w:r>
        <w:rPr>
          <w:sz w:val="22"/>
          <w:szCs w:val="22"/>
        </w:rPr>
        <w:t xml:space="preserve">Santiago de Cali, septiembre de 2026</w:t>
      </w:r>
    </w:p>
    <w:p>
      <w:r>
        <w:br w:type="page"/>
      </w:r>
    </w:p>
    <w:p>
      <w:pPr>
        <w:pStyle w:val="Heading1"/>
      </w:pPr>
      <w:r>
        <w:t xml:space="preserve">1. Introducción</w:t>
      </w:r>
    </w:p>
    <w:p>
      <w:pPr>
        <w:spacing w:after="140" w:line="300"/>
        <w:jc w:val="both"/>
      </w:pPr>
      <w:r>
        <w:t xml:space="preserve">Este documento describe la estructura base del proyecto de software de una EPS (Entidad Promotora de Salud) organizado bajo una arquitectura de microservicios. La estructura se encuentra en la carpeta eps-microservicios del repositorio evaluacionGit y corresponde únicamente al esqueleto del proyecto: contiene las carpetas de cada microservicio, sin código fuente funcional.</w:t>
      </w:r>
    </w:p>
    <w:p>
      <w:pPr>
        <w:spacing w:after="140" w:line="300"/>
        <w:jc w:val="both"/>
      </w:pPr>
      <w:r>
        <w:t xml:space="preserve">Cada carpeta incluye un archivo de texto con una línea descriptiva. Esto es necesario porque Git no versiona carpetas vacías, de modo que cada carpeta debe contener al menos un archivo para existir en el repositorio.</w:t>
      </w:r>
    </w:p>
    <w:p>
      <w:pPr>
        <w:pStyle w:val="Heading1"/>
      </w:pPr>
      <w:r>
        <w:t xml:space="preserve">2. Estructura de carpetas</w:t>
      </w:r>
    </w:p>
    <w:p>
      <w:pPr>
        <w:spacing w:after="140" w:line="300"/>
        <w:jc w:val="both"/>
      </w:pPr>
      <w:r>
        <w:t xml:space="preserve">La organización del proyecto dentro del repositorio es la siguiente:</w:t>
      </w:r>
    </w:p>
    <w:p>
      <w:pPr>
        <w:shd w:fill="F2F4F7" w:val="clear"/>
        <w:spacing w:after="0"/>
      </w:pPr>
      <w:r>
        <w:rPr>
          <w:rFonts w:ascii="Consolas" w:cs="Consolas" w:eastAsia="Consolas" w:hAnsi="Consolas"/>
          <w:sz w:val="20"/>
          <w:szCs w:val="20"/>
        </w:rPr>
        <w:t xml:space="preserve">evaluacionGit/</w:t>
      </w:r>
    </w:p>
    <w:p>
      <w:pPr>
        <w:shd w:fill="F2F4F7" w:val="clear"/>
        <w:spacing w:after="0"/>
      </w:pPr>
      <w:r>
        <w:rPr>
          <w:rFonts w:ascii="Consolas" w:cs="Consolas" w:eastAsia="Consolas" w:hAnsi="Consolas"/>
          <w:sz w:val="20"/>
          <w:szCs w:val="20"/>
        </w:rPr>
        <w:t xml:space="preserve">├── README.md</w:t>
      </w:r>
    </w:p>
    <w:p>
      <w:pPr>
        <w:shd w:fill="F2F4F7" w:val="clear"/>
        <w:spacing w:after="0"/>
      </w:pPr>
      <w:r>
        <w:rPr>
          <w:rFonts w:ascii="Consolas" w:cs="Consolas" w:eastAsia="Consolas" w:hAnsi="Consolas"/>
          <w:sz w:val="20"/>
          <w:szCs w:val="20"/>
        </w:rPr>
        <w:t xml:space="preserve">├── EstructuraMicroservicios_EPS.docx</w:t>
      </w:r>
    </w:p>
    <w:p>
      <w:pPr>
        <w:shd w:fill="F2F4F7" w:val="clear"/>
        <w:spacing w:after="0"/>
      </w:pPr>
      <w:r>
        <w:rPr>
          <w:rFonts w:ascii="Consolas" w:cs="Consolas" w:eastAsia="Consolas" w:hAnsi="Consolas"/>
          <w:sz w:val="20"/>
          <w:szCs w:val="20"/>
        </w:rPr>
        <w:t xml:space="preserve">└── eps-microservicios/</w:t>
      </w:r>
    </w:p>
    <w:p>
      <w:pPr>
        <w:shd w:fill="F2F4F7" w:val="clear"/>
        <w:spacing w:after="0"/>
      </w:pPr>
      <w:r>
        <w:rPr>
          <w:rFonts w:ascii="Consolas" w:cs="Consolas" w:eastAsia="Consolas" w:hAnsi="Consolas"/>
          <w:sz w:val="20"/>
          <w:szCs w:val="20"/>
        </w:rPr>
        <w:t xml:space="preserve">    ├── api-gateway/</w:t>
      </w:r>
    </w:p>
    <w:p>
      <w:pPr>
        <w:shd w:fill="F2F4F7" w:val="clear"/>
        <w:spacing w:after="0"/>
      </w:pPr>
      <w:r>
        <w:rPr>
          <w:rFonts w:ascii="Consolas" w:cs="Consolas" w:eastAsia="Consolas" w:hAnsi="Consolas"/>
          <w:sz w:val="20"/>
          <w:szCs w:val="20"/>
        </w:rPr>
        <w:t xml:space="preserve">    ├── ms-autenticacion/</w:t>
      </w:r>
    </w:p>
    <w:p>
      <w:pPr>
        <w:shd w:fill="F2F4F7" w:val="clear"/>
        <w:spacing w:after="0"/>
      </w:pPr>
      <w:r>
        <w:rPr>
          <w:rFonts w:ascii="Consolas" w:cs="Consolas" w:eastAsia="Consolas" w:hAnsi="Consolas"/>
          <w:sz w:val="20"/>
          <w:szCs w:val="20"/>
        </w:rPr>
        <w:t xml:space="preserve">    ├── ms-afiliados/</w:t>
      </w:r>
    </w:p>
    <w:p>
      <w:pPr>
        <w:shd w:fill="F2F4F7" w:val="clear"/>
        <w:spacing w:after="0"/>
      </w:pPr>
      <w:r>
        <w:rPr>
          <w:rFonts w:ascii="Consolas" w:cs="Consolas" w:eastAsia="Consolas" w:hAnsi="Consolas"/>
          <w:sz w:val="20"/>
          <w:szCs w:val="20"/>
        </w:rPr>
        <w:t xml:space="preserve">    ├── ms-citas/</w:t>
      </w:r>
    </w:p>
    <w:p>
      <w:pPr>
        <w:shd w:fill="F2F4F7" w:val="clear"/>
        <w:spacing w:after="0"/>
      </w:pPr>
      <w:r>
        <w:rPr>
          <w:rFonts w:ascii="Consolas" w:cs="Consolas" w:eastAsia="Consolas" w:hAnsi="Consolas"/>
          <w:sz w:val="20"/>
          <w:szCs w:val="20"/>
        </w:rPr>
        <w:t xml:space="preserve">    ├── ms-autorizaciones/</w:t>
      </w:r>
    </w:p>
    <w:p>
      <w:pPr>
        <w:shd w:fill="F2F4F7" w:val="clear"/>
        <w:spacing w:after="0"/>
      </w:pPr>
      <w:r>
        <w:rPr>
          <w:rFonts w:ascii="Consolas" w:cs="Consolas" w:eastAsia="Consolas" w:hAnsi="Consolas"/>
          <w:sz w:val="20"/>
          <w:szCs w:val="20"/>
        </w:rPr>
        <w:t xml:space="preserve">    ├── ms-historia-clinica/</w:t>
      </w:r>
    </w:p>
    <w:p>
      <w:pPr>
        <w:shd w:fill="F2F4F7" w:val="clear"/>
        <w:spacing w:after="0"/>
      </w:pPr>
      <w:r>
        <w:rPr>
          <w:rFonts w:ascii="Consolas" w:cs="Consolas" w:eastAsia="Consolas" w:hAnsi="Consolas"/>
          <w:sz w:val="20"/>
          <w:szCs w:val="20"/>
        </w:rPr>
        <w:t xml:space="preserve">    ├── ms-facturacion/</w:t>
      </w:r>
    </w:p>
    <w:p>
      <w:pPr>
        <w:shd w:fill="F2F4F7" w:val="clear"/>
        <w:spacing w:after="0"/>
      </w:pPr>
      <w:r>
        <w:rPr>
          <w:rFonts w:ascii="Consolas" w:cs="Consolas" w:eastAsia="Consolas" w:hAnsi="Consolas"/>
          <w:sz w:val="20"/>
          <w:szCs w:val="20"/>
        </w:rPr>
        <w:t xml:space="preserve">    └── ms-notificaciones/</w:t>
      </w:r>
    </w:p>
    <w:p>
      <w:pPr>
        <w:spacing w:after="120"/>
      </w:pPr>
    </w:p>
    <w:p>
      <w:pPr>
        <w:pStyle w:val="Heading1"/>
      </w:pPr>
      <w:r>
        <w:t xml:space="preserve">3. Descripción de los microservicios</w:t>
      </w:r>
    </w:p>
    <w:p>
      <w:pPr>
        <w:spacing w:after="140" w:line="300"/>
        <w:jc w:val="both"/>
      </w:pPr>
      <w:r>
        <w:t xml:space="preserve">La siguiente tabla resume la responsabilidad de cada componente de la estructura: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700"/>
        <w:gridCol w:w="3226"/>
      </w:tblGrid>
      <w:tr>
        <w:trPr>
          <w:tblHeader/>
        </w:trPr>
        <w:tc>
          <w:tcPr>
            <w:tcW w:type="dxa" w:w="2100"/>
            <w:tcBorders>
              <w:top w:val="single" w:color="B0B8C4" w:sz="4"/>
              <w:left w:val="single" w:color="B0B8C4" w:sz="4"/>
              <w:bottom w:val="single" w:color="B0B8C4" w:sz="4"/>
              <w:right w:val="single" w:color="B0B8C4" w:sz="4"/>
            </w:tcBorders>
            <w:shd w:fill="1F3A5F" w:val="clear"/>
            <w:tcMar>
              <w:top w:type="dxa" w:w="80"/>
              <w:left w:type="dxa" w:w="120"/>
              <w:bottom w:type="dxa" w:w="80"/>
              <w:right w:type="dxa" w:w="120"/>
            </w:tcMar>
          </w:tcPr>
          <w:p>
            <w:r>
              <w:rPr>
                <w:b/>
                <w:bCs/>
                <w:color w:val="FFFFFF"/>
                <w:sz w:val="20"/>
                <w:szCs w:val="20"/>
              </w:rPr>
              <w:t xml:space="preserve">Carpeta</w:t>
            </w:r>
          </w:p>
        </w:tc>
        <w:tc>
          <w:tcPr>
            <w:tcW w:type="dxa" w:w="3700"/>
            <w:tcBorders>
              <w:top w:val="single" w:color="B0B8C4" w:sz="4"/>
              <w:left w:val="single" w:color="B0B8C4" w:sz="4"/>
              <w:bottom w:val="single" w:color="B0B8C4" w:sz="4"/>
              <w:right w:val="single" w:color="B0B8C4" w:sz="4"/>
            </w:tcBorders>
            <w:shd w:fill="1F3A5F" w:val="clear"/>
            <w:tcMar>
              <w:top w:type="dxa" w:w="80"/>
              <w:left w:type="dxa" w:w="120"/>
              <w:bottom w:type="dxa" w:w="80"/>
              <w:right w:type="dxa" w:w="120"/>
            </w:tcMar>
          </w:tcPr>
          <w:p>
            <w:r>
              <w:rPr>
                <w:b/>
                <w:bCs/>
                <w:color w:val="FFFFFF"/>
                <w:sz w:val="20"/>
                <w:szCs w:val="20"/>
              </w:rPr>
              <w:t xml:space="preserve">Propósito</w:t>
            </w:r>
          </w:p>
        </w:tc>
        <w:tc>
          <w:tcPr>
            <w:tcW w:type="dxa" w:w="3226"/>
            <w:tcBorders>
              <w:top w:val="single" w:color="B0B8C4" w:sz="4"/>
              <w:left w:val="single" w:color="B0B8C4" w:sz="4"/>
              <w:bottom w:val="single" w:color="B0B8C4" w:sz="4"/>
              <w:right w:val="single" w:color="B0B8C4" w:sz="4"/>
            </w:tcBorders>
            <w:shd w:fill="1F3A5F" w:val="clear"/>
            <w:tcMar>
              <w:top w:type="dxa" w:w="80"/>
              <w:left w:type="dxa" w:w="120"/>
              <w:bottom w:type="dxa" w:w="80"/>
              <w:right w:type="dxa" w:w="120"/>
            </w:tcMar>
          </w:tcPr>
          <w:p>
            <w:r>
              <w:rPr>
                <w:b/>
                <w:bCs/>
                <w:color w:val="FFFFFF"/>
                <w:sz w:val="20"/>
                <w:szCs w:val="20"/>
              </w:rPr>
              <w:t xml:space="preserve">Funciones principales</w:t>
            </w:r>
          </w:p>
        </w:tc>
      </w:tr>
      <w:tr>
        <w:trPr>
          <w:cantSplit/>
        </w:trPr>
        <w:tc>
          <w:tcPr>
            <w:tcW w:type="dxa" w:w="2100"/>
            <w:tcBorders>
              <w:top w:val="single" w:color="B0B8C4" w:sz="4"/>
              <w:left w:val="single" w:color="B0B8C4" w:sz="4"/>
              <w:bottom w:val="single" w:color="B0B8C4" w:sz="4"/>
              <w:right w:val="single" w:color="B0B8C4" w:sz="4"/>
            </w:tcBorders>
            <w:tcMar>
              <w:top w:type="dxa" w:w="80"/>
              <w:left w:type="dxa" w:w="120"/>
              <w:bottom w:type="dxa" w:w="80"/>
              <w:right w:type="dxa" w:w="120"/>
            </w:tcMar>
          </w:tcPr>
          <w:p>
            <w:r>
              <w:rPr>
                <w:b w:val="false"/>
                <w:bCs w:val="false"/>
                <w:sz w:val="20"/>
                <w:szCs w:val="20"/>
              </w:rPr>
              <w:t xml:space="preserve">api-gateway</w:t>
            </w:r>
          </w:p>
        </w:tc>
        <w:tc>
          <w:tcPr>
            <w:tcW w:type="dxa" w:w="3700"/>
            <w:tcBorders>
              <w:top w:val="single" w:color="B0B8C4" w:sz="4"/>
              <w:left w:val="single" w:color="B0B8C4" w:sz="4"/>
              <w:bottom w:val="single" w:color="B0B8C4" w:sz="4"/>
              <w:right w:val="single" w:color="B0B8C4" w:sz="4"/>
            </w:tcBorders>
            <w:tcMar>
              <w:top w:type="dxa" w:w="80"/>
              <w:left w:type="dxa" w:w="120"/>
              <w:bottom w:type="dxa" w:w="80"/>
              <w:right w:type="dxa" w:w="120"/>
            </w:tcMar>
          </w:tcPr>
          <w:p>
            <w:r>
              <w:rPr>
                <w:b w:val="false"/>
                <w:bCs w:val="false"/>
                <w:sz w:val="20"/>
                <w:szCs w:val="20"/>
              </w:rPr>
              <w:t xml:space="preserve">Punto de entrada único al sistema. Recibe todas las peticiones de la app móvil y del portal web y las enruta al microservicio correspondiente.</w:t>
            </w:r>
          </w:p>
        </w:tc>
        <w:tc>
          <w:tcPr>
            <w:tcW w:type="dxa" w:w="3226"/>
            <w:tcBorders>
              <w:top w:val="single" w:color="B0B8C4" w:sz="4"/>
              <w:left w:val="single" w:color="B0B8C4" w:sz="4"/>
              <w:bottom w:val="single" w:color="B0B8C4" w:sz="4"/>
              <w:right w:val="single" w:color="B0B8C4" w:sz="4"/>
            </w:tcBorders>
            <w:tcMar>
              <w:top w:type="dxa" w:w="80"/>
              <w:left w:type="dxa" w:w="120"/>
              <w:bottom w:type="dxa" w:w="80"/>
              <w:right w:type="dxa" w:w="120"/>
            </w:tcMar>
          </w:tcPr>
          <w:p>
            <w:r>
              <w:rPr>
                <w:b w:val="false"/>
                <w:bCs w:val="false"/>
                <w:sz w:val="20"/>
                <w:szCs w:val="20"/>
              </w:rPr>
              <w:t xml:space="preserve">Enrutamiento, validación de tokens, control de tráfico y balanceo de carga.</w:t>
            </w:r>
          </w:p>
        </w:tc>
      </w:tr>
      <w:tr>
        <w:trPr>
          <w:cantSplit/>
        </w:trPr>
        <w:tc>
          <w:tcPr>
            <w:tcW w:type="dxa" w:w="2100"/>
            <w:tcBorders>
              <w:top w:val="single" w:color="B0B8C4" w:sz="4"/>
              <w:left w:val="single" w:color="B0B8C4" w:sz="4"/>
              <w:bottom w:val="single" w:color="B0B8C4" w:sz="4"/>
              <w:right w:val="single" w:color="B0B8C4" w:sz="4"/>
            </w:tcBorders>
            <w:tcMar>
              <w:top w:type="dxa" w:w="80"/>
              <w:left w:type="dxa" w:w="120"/>
              <w:bottom w:type="dxa" w:w="80"/>
              <w:right w:type="dxa" w:w="120"/>
            </w:tcMar>
          </w:tcPr>
          <w:p>
            <w:r>
              <w:rPr>
                <w:b w:val="false"/>
                <w:bCs w:val="false"/>
                <w:sz w:val="20"/>
                <w:szCs w:val="20"/>
              </w:rPr>
              <w:t xml:space="preserve">ms-autenticacion</w:t>
            </w:r>
          </w:p>
        </w:tc>
        <w:tc>
          <w:tcPr>
            <w:tcW w:type="dxa" w:w="3700"/>
            <w:tcBorders>
              <w:top w:val="single" w:color="B0B8C4" w:sz="4"/>
              <w:left w:val="single" w:color="B0B8C4" w:sz="4"/>
              <w:bottom w:val="single" w:color="B0B8C4" w:sz="4"/>
              <w:right w:val="single" w:color="B0B8C4" w:sz="4"/>
            </w:tcBorders>
            <w:tcMar>
              <w:top w:type="dxa" w:w="80"/>
              <w:left w:type="dxa" w:w="120"/>
              <w:bottom w:type="dxa" w:w="80"/>
              <w:right w:type="dxa" w:w="120"/>
            </w:tcMar>
          </w:tcPr>
          <w:p>
            <w:r>
              <w:rPr>
                <w:b w:val="false"/>
                <w:bCs w:val="false"/>
                <w:sz w:val="20"/>
                <w:szCs w:val="20"/>
              </w:rPr>
              <w:t xml:space="preserve">Gestiona el inicio de sesión y los permisos de afiliados, médicos y personal administrativo.</w:t>
            </w:r>
          </w:p>
        </w:tc>
        <w:tc>
          <w:tcPr>
            <w:tcW w:type="dxa" w:w="3226"/>
            <w:tcBorders>
              <w:top w:val="single" w:color="B0B8C4" w:sz="4"/>
              <w:left w:val="single" w:color="B0B8C4" w:sz="4"/>
              <w:bottom w:val="single" w:color="B0B8C4" w:sz="4"/>
              <w:right w:val="single" w:color="B0B8C4" w:sz="4"/>
            </w:tcBorders>
            <w:tcMar>
              <w:top w:type="dxa" w:w="80"/>
              <w:left w:type="dxa" w:w="120"/>
              <w:bottom w:type="dxa" w:w="80"/>
              <w:right w:type="dxa" w:w="120"/>
            </w:tcMar>
          </w:tcPr>
          <w:p>
            <w:r>
              <w:rPr>
                <w:b w:val="false"/>
                <w:bCs w:val="false"/>
                <w:sz w:val="20"/>
                <w:szCs w:val="20"/>
              </w:rPr>
              <w:t xml:space="preserve">Login, emisión de tokens (JWT), roles y control de acceso.</w:t>
            </w:r>
          </w:p>
        </w:tc>
      </w:tr>
      <w:tr>
        <w:trPr>
          <w:cantSplit/>
        </w:trPr>
        <w:tc>
          <w:tcPr>
            <w:tcW w:type="dxa" w:w="2100"/>
            <w:tcBorders>
              <w:top w:val="single" w:color="B0B8C4" w:sz="4"/>
              <w:left w:val="single" w:color="B0B8C4" w:sz="4"/>
              <w:bottom w:val="single" w:color="B0B8C4" w:sz="4"/>
              <w:right w:val="single" w:color="B0B8C4" w:sz="4"/>
            </w:tcBorders>
            <w:tcMar>
              <w:top w:type="dxa" w:w="80"/>
              <w:left w:type="dxa" w:w="120"/>
              <w:bottom w:type="dxa" w:w="80"/>
              <w:right w:type="dxa" w:w="120"/>
            </w:tcMar>
          </w:tcPr>
          <w:p>
            <w:r>
              <w:rPr>
                <w:b w:val="false"/>
                <w:bCs w:val="false"/>
                <w:sz w:val="20"/>
                <w:szCs w:val="20"/>
              </w:rPr>
              <w:t xml:space="preserve">ms-afiliados</w:t>
            </w:r>
          </w:p>
        </w:tc>
        <w:tc>
          <w:tcPr>
            <w:tcW w:type="dxa" w:w="3700"/>
            <w:tcBorders>
              <w:top w:val="single" w:color="B0B8C4" w:sz="4"/>
              <w:left w:val="single" w:color="B0B8C4" w:sz="4"/>
              <w:bottom w:val="single" w:color="B0B8C4" w:sz="4"/>
              <w:right w:val="single" w:color="B0B8C4" w:sz="4"/>
            </w:tcBorders>
            <w:tcMar>
              <w:top w:type="dxa" w:w="80"/>
              <w:left w:type="dxa" w:w="120"/>
              <w:bottom w:type="dxa" w:w="80"/>
              <w:right w:type="dxa" w:w="120"/>
            </w:tcMar>
          </w:tcPr>
          <w:p>
            <w:r>
              <w:rPr>
                <w:b w:val="false"/>
                <w:bCs w:val="false"/>
                <w:sz w:val="20"/>
                <w:szCs w:val="20"/>
              </w:rPr>
              <w:t xml:space="preserve">Administra la información de las personas afiliadas a la EPS.</w:t>
            </w:r>
          </w:p>
        </w:tc>
        <w:tc>
          <w:tcPr>
            <w:tcW w:type="dxa" w:w="3226"/>
            <w:tcBorders>
              <w:top w:val="single" w:color="B0B8C4" w:sz="4"/>
              <w:left w:val="single" w:color="B0B8C4" w:sz="4"/>
              <w:bottom w:val="single" w:color="B0B8C4" w:sz="4"/>
              <w:right w:val="single" w:color="B0B8C4" w:sz="4"/>
            </w:tcBorders>
            <w:tcMar>
              <w:top w:type="dxa" w:w="80"/>
              <w:left w:type="dxa" w:w="120"/>
              <w:bottom w:type="dxa" w:w="80"/>
              <w:right w:type="dxa" w:w="120"/>
            </w:tcMar>
          </w:tcPr>
          <w:p>
            <w:r>
              <w:rPr>
                <w:b w:val="false"/>
                <w:bCs w:val="false"/>
                <w:sz w:val="20"/>
                <w:szCs w:val="20"/>
              </w:rPr>
              <w:t xml:space="preserve">Registro, actualización de datos, beneficiarios, régimen y estado de afiliación.</w:t>
            </w:r>
          </w:p>
        </w:tc>
      </w:tr>
      <w:tr>
        <w:trPr>
          <w:cantSplit/>
        </w:trPr>
        <w:tc>
          <w:tcPr>
            <w:tcW w:type="dxa" w:w="2100"/>
            <w:tcBorders>
              <w:top w:val="single" w:color="B0B8C4" w:sz="4"/>
              <w:left w:val="single" w:color="B0B8C4" w:sz="4"/>
              <w:bottom w:val="single" w:color="B0B8C4" w:sz="4"/>
              <w:right w:val="single" w:color="B0B8C4" w:sz="4"/>
            </w:tcBorders>
            <w:tcMar>
              <w:top w:type="dxa" w:w="80"/>
              <w:left w:type="dxa" w:w="120"/>
              <w:bottom w:type="dxa" w:w="80"/>
              <w:right w:type="dxa" w:w="120"/>
            </w:tcMar>
          </w:tcPr>
          <w:p>
            <w:r>
              <w:rPr>
                <w:b w:val="false"/>
                <w:bCs w:val="false"/>
                <w:sz w:val="20"/>
                <w:szCs w:val="20"/>
              </w:rPr>
              <w:t xml:space="preserve">ms-citas</w:t>
            </w:r>
          </w:p>
        </w:tc>
        <w:tc>
          <w:tcPr>
            <w:tcW w:type="dxa" w:w="3700"/>
            <w:tcBorders>
              <w:top w:val="single" w:color="B0B8C4" w:sz="4"/>
              <w:left w:val="single" w:color="B0B8C4" w:sz="4"/>
              <w:bottom w:val="single" w:color="B0B8C4" w:sz="4"/>
              <w:right w:val="single" w:color="B0B8C4" w:sz="4"/>
            </w:tcBorders>
            <w:tcMar>
              <w:top w:type="dxa" w:w="80"/>
              <w:left w:type="dxa" w:w="120"/>
              <w:bottom w:type="dxa" w:w="80"/>
              <w:right w:type="dxa" w:w="120"/>
            </w:tcMar>
          </w:tcPr>
          <w:p>
            <w:r>
              <w:rPr>
                <w:b w:val="false"/>
                <w:bCs w:val="false"/>
                <w:sz w:val="20"/>
                <w:szCs w:val="20"/>
              </w:rPr>
              <w:t xml:space="preserve">Gestiona el agendamiento de citas médicas.</w:t>
            </w:r>
          </w:p>
        </w:tc>
        <w:tc>
          <w:tcPr>
            <w:tcW w:type="dxa" w:w="3226"/>
            <w:tcBorders>
              <w:top w:val="single" w:color="B0B8C4" w:sz="4"/>
              <w:left w:val="single" w:color="B0B8C4" w:sz="4"/>
              <w:bottom w:val="single" w:color="B0B8C4" w:sz="4"/>
              <w:right w:val="single" w:color="B0B8C4" w:sz="4"/>
            </w:tcBorders>
            <w:tcMar>
              <w:top w:type="dxa" w:w="80"/>
              <w:left w:type="dxa" w:w="120"/>
              <w:bottom w:type="dxa" w:w="80"/>
              <w:right w:type="dxa" w:w="120"/>
            </w:tcMar>
          </w:tcPr>
          <w:p>
            <w:r>
              <w:rPr>
                <w:b w:val="false"/>
                <w:bCs w:val="false"/>
                <w:sz w:val="20"/>
                <w:szCs w:val="20"/>
              </w:rPr>
              <w:t xml:space="preserve">Consulta de disponibilidad, asignación, reprogramación y cancelación de citas.</w:t>
            </w:r>
          </w:p>
        </w:tc>
      </w:tr>
      <w:tr>
        <w:trPr>
          <w:cantSplit/>
        </w:trPr>
        <w:tc>
          <w:tcPr>
            <w:tcW w:type="dxa" w:w="2100"/>
            <w:tcBorders>
              <w:top w:val="single" w:color="B0B8C4" w:sz="4"/>
              <w:left w:val="single" w:color="B0B8C4" w:sz="4"/>
              <w:bottom w:val="single" w:color="B0B8C4" w:sz="4"/>
              <w:right w:val="single" w:color="B0B8C4" w:sz="4"/>
            </w:tcBorders>
            <w:tcMar>
              <w:top w:type="dxa" w:w="80"/>
              <w:left w:type="dxa" w:w="120"/>
              <w:bottom w:type="dxa" w:w="80"/>
              <w:right w:type="dxa" w:w="120"/>
            </w:tcMar>
          </w:tcPr>
          <w:p>
            <w:r>
              <w:rPr>
                <w:b w:val="false"/>
                <w:bCs w:val="false"/>
                <w:sz w:val="20"/>
                <w:szCs w:val="20"/>
              </w:rPr>
              <w:t xml:space="preserve">ms-autorizaciones</w:t>
            </w:r>
          </w:p>
        </w:tc>
        <w:tc>
          <w:tcPr>
            <w:tcW w:type="dxa" w:w="3700"/>
            <w:tcBorders>
              <w:top w:val="single" w:color="B0B8C4" w:sz="4"/>
              <w:left w:val="single" w:color="B0B8C4" w:sz="4"/>
              <w:bottom w:val="single" w:color="B0B8C4" w:sz="4"/>
              <w:right w:val="single" w:color="B0B8C4" w:sz="4"/>
            </w:tcBorders>
            <w:tcMar>
              <w:top w:type="dxa" w:w="80"/>
              <w:left w:type="dxa" w:w="120"/>
              <w:bottom w:type="dxa" w:w="80"/>
              <w:right w:type="dxa" w:w="120"/>
            </w:tcMar>
          </w:tcPr>
          <w:p>
            <w:r>
              <w:rPr>
                <w:b w:val="false"/>
                <w:bCs w:val="false"/>
                <w:sz w:val="20"/>
                <w:szCs w:val="20"/>
              </w:rPr>
              <w:t xml:space="preserve">Tramita las autorizaciones de servicios de salud.</w:t>
            </w:r>
          </w:p>
        </w:tc>
        <w:tc>
          <w:tcPr>
            <w:tcW w:type="dxa" w:w="3226"/>
            <w:tcBorders>
              <w:top w:val="single" w:color="B0B8C4" w:sz="4"/>
              <w:left w:val="single" w:color="B0B8C4" w:sz="4"/>
              <w:bottom w:val="single" w:color="B0B8C4" w:sz="4"/>
              <w:right w:val="single" w:color="B0B8C4" w:sz="4"/>
            </w:tcBorders>
            <w:tcMar>
              <w:top w:type="dxa" w:w="80"/>
              <w:left w:type="dxa" w:w="120"/>
              <w:bottom w:type="dxa" w:w="80"/>
              <w:right w:type="dxa" w:w="120"/>
            </w:tcMar>
          </w:tcPr>
          <w:p>
            <w:r>
              <w:rPr>
                <w:b w:val="false"/>
                <w:bCs w:val="false"/>
                <w:sz w:val="20"/>
                <w:szCs w:val="20"/>
              </w:rPr>
              <w:t xml:space="preserve">Solicitud y aprobación de exámenes, procedimientos y medicamentos.</w:t>
            </w:r>
          </w:p>
        </w:tc>
      </w:tr>
      <w:tr>
        <w:trPr>
          <w:cantSplit/>
        </w:trPr>
        <w:tc>
          <w:tcPr>
            <w:tcW w:type="dxa" w:w="2100"/>
            <w:tcBorders>
              <w:top w:val="single" w:color="B0B8C4" w:sz="4"/>
              <w:left w:val="single" w:color="B0B8C4" w:sz="4"/>
              <w:bottom w:val="single" w:color="B0B8C4" w:sz="4"/>
              <w:right w:val="single" w:color="B0B8C4" w:sz="4"/>
            </w:tcBorders>
            <w:tcMar>
              <w:top w:type="dxa" w:w="80"/>
              <w:left w:type="dxa" w:w="120"/>
              <w:bottom w:type="dxa" w:w="80"/>
              <w:right w:type="dxa" w:w="120"/>
            </w:tcMar>
          </w:tcPr>
          <w:p>
            <w:r>
              <w:rPr>
                <w:b w:val="false"/>
                <w:bCs w:val="false"/>
                <w:sz w:val="20"/>
                <w:szCs w:val="20"/>
              </w:rPr>
              <w:t xml:space="preserve">ms-historia-clinica</w:t>
            </w:r>
          </w:p>
        </w:tc>
        <w:tc>
          <w:tcPr>
            <w:tcW w:type="dxa" w:w="3700"/>
            <w:tcBorders>
              <w:top w:val="single" w:color="B0B8C4" w:sz="4"/>
              <w:left w:val="single" w:color="B0B8C4" w:sz="4"/>
              <w:bottom w:val="single" w:color="B0B8C4" w:sz="4"/>
              <w:right w:val="single" w:color="B0B8C4" w:sz="4"/>
            </w:tcBorders>
            <w:tcMar>
              <w:top w:type="dxa" w:w="80"/>
              <w:left w:type="dxa" w:w="120"/>
              <w:bottom w:type="dxa" w:w="80"/>
              <w:right w:type="dxa" w:w="120"/>
            </w:tcMar>
          </w:tcPr>
          <w:p>
            <w:r>
              <w:rPr>
                <w:b w:val="false"/>
                <w:bCs w:val="false"/>
                <w:sz w:val="20"/>
                <w:szCs w:val="20"/>
              </w:rPr>
              <w:t xml:space="preserve">Almacena y consulta la información clínica de los pacientes.</w:t>
            </w:r>
          </w:p>
        </w:tc>
        <w:tc>
          <w:tcPr>
            <w:tcW w:type="dxa" w:w="3226"/>
            <w:tcBorders>
              <w:top w:val="single" w:color="B0B8C4" w:sz="4"/>
              <w:left w:val="single" w:color="B0B8C4" w:sz="4"/>
              <w:bottom w:val="single" w:color="B0B8C4" w:sz="4"/>
              <w:right w:val="single" w:color="B0B8C4" w:sz="4"/>
            </w:tcBorders>
            <w:tcMar>
              <w:top w:type="dxa" w:w="80"/>
              <w:left w:type="dxa" w:w="120"/>
              <w:bottom w:type="dxa" w:w="80"/>
              <w:right w:type="dxa" w:w="120"/>
            </w:tcMar>
          </w:tcPr>
          <w:p>
            <w:r>
              <w:rPr>
                <w:b w:val="false"/>
                <w:bCs w:val="false"/>
                <w:sz w:val="20"/>
                <w:szCs w:val="20"/>
              </w:rPr>
              <w:t xml:space="preserve">Registro de atenciones, diagnósticos, órdenes y antecedentes.</w:t>
            </w:r>
          </w:p>
        </w:tc>
      </w:tr>
      <w:tr>
        <w:trPr>
          <w:cantSplit/>
        </w:trPr>
        <w:tc>
          <w:tcPr>
            <w:tcW w:type="dxa" w:w="2100"/>
            <w:tcBorders>
              <w:top w:val="single" w:color="B0B8C4" w:sz="4"/>
              <w:left w:val="single" w:color="B0B8C4" w:sz="4"/>
              <w:bottom w:val="single" w:color="B0B8C4" w:sz="4"/>
              <w:right w:val="single" w:color="B0B8C4" w:sz="4"/>
            </w:tcBorders>
            <w:tcMar>
              <w:top w:type="dxa" w:w="80"/>
              <w:left w:type="dxa" w:w="120"/>
              <w:bottom w:type="dxa" w:w="80"/>
              <w:right w:type="dxa" w:w="120"/>
            </w:tcMar>
          </w:tcPr>
          <w:p>
            <w:r>
              <w:rPr>
                <w:b w:val="false"/>
                <w:bCs w:val="false"/>
                <w:sz w:val="20"/>
                <w:szCs w:val="20"/>
              </w:rPr>
              <w:t xml:space="preserve">ms-facturacion</w:t>
            </w:r>
          </w:p>
        </w:tc>
        <w:tc>
          <w:tcPr>
            <w:tcW w:type="dxa" w:w="3700"/>
            <w:tcBorders>
              <w:top w:val="single" w:color="B0B8C4" w:sz="4"/>
              <w:left w:val="single" w:color="B0B8C4" w:sz="4"/>
              <w:bottom w:val="single" w:color="B0B8C4" w:sz="4"/>
              <w:right w:val="single" w:color="B0B8C4" w:sz="4"/>
            </w:tcBorders>
            <w:tcMar>
              <w:top w:type="dxa" w:w="80"/>
              <w:left w:type="dxa" w:w="120"/>
              <w:bottom w:type="dxa" w:w="80"/>
              <w:right w:type="dxa" w:w="120"/>
            </w:tcMar>
          </w:tcPr>
          <w:p>
            <w:r>
              <w:rPr>
                <w:b w:val="false"/>
                <w:bCs w:val="false"/>
                <w:sz w:val="20"/>
                <w:szCs w:val="20"/>
              </w:rPr>
              <w:t xml:space="preserve">Maneja los cobros y la facturación de los servicios.</w:t>
            </w:r>
          </w:p>
        </w:tc>
        <w:tc>
          <w:tcPr>
            <w:tcW w:type="dxa" w:w="3226"/>
            <w:tcBorders>
              <w:top w:val="single" w:color="B0B8C4" w:sz="4"/>
              <w:left w:val="single" w:color="B0B8C4" w:sz="4"/>
              <w:bottom w:val="single" w:color="B0B8C4" w:sz="4"/>
              <w:right w:val="single" w:color="B0B8C4" w:sz="4"/>
            </w:tcBorders>
            <w:tcMar>
              <w:top w:type="dxa" w:w="80"/>
              <w:left w:type="dxa" w:w="120"/>
              <w:bottom w:type="dxa" w:w="80"/>
              <w:right w:type="dxa" w:w="120"/>
            </w:tcMar>
          </w:tcPr>
          <w:p>
            <w:r>
              <w:rPr>
                <w:b w:val="false"/>
                <w:bCs w:val="false"/>
                <w:sz w:val="20"/>
                <w:szCs w:val="20"/>
              </w:rPr>
              <w:t xml:space="preserve">Cuotas moderadoras, copagos, facturas y cobros a prestadores (IPS).</w:t>
            </w:r>
          </w:p>
        </w:tc>
      </w:tr>
      <w:tr>
        <w:trPr>
          <w:cantSplit/>
        </w:trPr>
        <w:tc>
          <w:tcPr>
            <w:tcW w:type="dxa" w:w="2100"/>
            <w:tcBorders>
              <w:top w:val="single" w:color="B0B8C4" w:sz="4"/>
              <w:left w:val="single" w:color="B0B8C4" w:sz="4"/>
              <w:bottom w:val="single" w:color="B0B8C4" w:sz="4"/>
              <w:right w:val="single" w:color="B0B8C4" w:sz="4"/>
            </w:tcBorders>
            <w:tcMar>
              <w:top w:type="dxa" w:w="80"/>
              <w:left w:type="dxa" w:w="120"/>
              <w:bottom w:type="dxa" w:w="80"/>
              <w:right w:type="dxa" w:w="120"/>
            </w:tcMar>
          </w:tcPr>
          <w:p>
            <w:r>
              <w:rPr>
                <w:b w:val="false"/>
                <w:bCs w:val="false"/>
                <w:sz w:val="20"/>
                <w:szCs w:val="20"/>
              </w:rPr>
              <w:t xml:space="preserve">ms-notificaciones</w:t>
            </w:r>
          </w:p>
        </w:tc>
        <w:tc>
          <w:tcPr>
            <w:tcW w:type="dxa" w:w="3700"/>
            <w:tcBorders>
              <w:top w:val="single" w:color="B0B8C4" w:sz="4"/>
              <w:left w:val="single" w:color="B0B8C4" w:sz="4"/>
              <w:bottom w:val="single" w:color="B0B8C4" w:sz="4"/>
              <w:right w:val="single" w:color="B0B8C4" w:sz="4"/>
            </w:tcBorders>
            <w:tcMar>
              <w:top w:type="dxa" w:w="80"/>
              <w:left w:type="dxa" w:w="120"/>
              <w:bottom w:type="dxa" w:w="80"/>
              <w:right w:type="dxa" w:w="120"/>
            </w:tcMar>
          </w:tcPr>
          <w:p>
            <w:r>
              <w:rPr>
                <w:b w:val="false"/>
                <w:bCs w:val="false"/>
                <w:sz w:val="20"/>
                <w:szCs w:val="20"/>
              </w:rPr>
              <w:t xml:space="preserve">Envía comunicaciones a los usuarios del sistema.</w:t>
            </w:r>
          </w:p>
        </w:tc>
        <w:tc>
          <w:tcPr>
            <w:tcW w:type="dxa" w:w="3226"/>
            <w:tcBorders>
              <w:top w:val="single" w:color="B0B8C4" w:sz="4"/>
              <w:left w:val="single" w:color="B0B8C4" w:sz="4"/>
              <w:bottom w:val="single" w:color="B0B8C4" w:sz="4"/>
              <w:right w:val="single" w:color="B0B8C4" w:sz="4"/>
            </w:tcBorders>
            <w:tcMar>
              <w:top w:type="dxa" w:w="80"/>
              <w:left w:type="dxa" w:w="120"/>
              <w:bottom w:type="dxa" w:w="80"/>
              <w:right w:type="dxa" w:w="120"/>
            </w:tcMar>
          </w:tcPr>
          <w:p>
            <w:r>
              <w:rPr>
                <w:b w:val="false"/>
                <w:bCs w:val="false"/>
                <w:sz w:val="20"/>
                <w:szCs w:val="20"/>
              </w:rPr>
              <w:t xml:space="preserve">Recordatorios de citas y avisos de autorizaciones por correo y SMS.</w:t>
            </w:r>
          </w:p>
        </w:tc>
      </w:tr>
    </w:tbl>
    <w:p>
      <w:pPr>
        <w:spacing w:after="120"/>
      </w:pPr>
    </w:p>
    <w:p>
      <w:pPr>
        <w:pStyle w:val="Heading1"/>
      </w:pPr>
      <w:r>
        <w:t xml:space="preserve">4. Criterios de organización</w:t>
      </w:r>
    </w:p>
    <w:p>
      <w:pPr>
        <w:pStyle w:val="ListParagraph"/>
        <w:numPr>
          <w:ilvl w:val="0"/>
          <w:numId w:val="2"/>
        </w:numPr>
        <w:spacing w:after="80" w:line="290"/>
        <w:jc w:val="both"/>
      </w:pPr>
      <w:r>
        <w:rPr>
          <w:b/>
          <w:bCs/>
        </w:rPr>
        <w:t xml:space="preserve">Un servicio por dominio de negocio: </w:t>
      </w:r>
      <w:r>
        <w:t xml:space="preserve">cada carpeta representa un área funcional de la EPS (afiliados, citas, autorizaciones, etc.), lo que permite desarrollarlas y desplegarlas de forma independiente.</w:t>
      </w:r>
    </w:p>
    <w:p>
      <w:pPr>
        <w:pStyle w:val="ListParagraph"/>
        <w:numPr>
          <w:ilvl w:val="0"/>
          <w:numId w:val="2"/>
        </w:numPr>
        <w:spacing w:after="80" w:line="290"/>
        <w:jc w:val="both"/>
      </w:pPr>
      <w:r>
        <w:rPr>
          <w:b/>
          <w:bCs/>
        </w:rPr>
        <w:t xml:space="preserve">Convención de nombres: </w:t>
      </w:r>
      <w:r>
        <w:t xml:space="preserve">los microservicios usan el prefijo ms- seguido del dominio en minúsculas y separado por guiones, lo que facilita identificarlos. El api-gateway no lleva prefijo porque es un componente de infraestructura y no un servicio de negocio.</w:t>
      </w:r>
    </w:p>
    <w:p>
      <w:pPr>
        <w:pStyle w:val="ListParagraph"/>
        <w:numPr>
          <w:ilvl w:val="0"/>
          <w:numId w:val="2"/>
        </w:numPr>
        <w:spacing w:after="80" w:line="290"/>
        <w:jc w:val="both"/>
      </w:pPr>
      <w:r>
        <w:rPr>
          <w:b/>
          <w:bCs/>
        </w:rPr>
        <w:t xml:space="preserve">Independencia: </w:t>
      </w:r>
      <w:r>
        <w:t xml:space="preserve">cada microservicio tendrá su propio código, configuración y base de datos, de modo que un fallo o cambio en uno no afecte directamente a los demás.</w:t>
      </w:r>
    </w:p>
    <w:p>
      <w:pPr>
        <w:pStyle w:val="ListParagraph"/>
        <w:numPr>
          <w:ilvl w:val="0"/>
          <w:numId w:val="2"/>
        </w:numPr>
        <w:spacing w:after="80" w:line="290"/>
        <w:jc w:val="both"/>
      </w:pPr>
      <w:r>
        <w:rPr>
          <w:b/>
          <w:bCs/>
        </w:rPr>
        <w:t xml:space="preserve">Escalabilidad: </w:t>
      </w:r>
      <w:r>
        <w:t xml:space="preserve">los servicios con mayor demanda, como citas o autorizaciones, pueden escalarse sin necesidad de escalar todo el sistema.</w:t>
      </w:r>
    </w:p>
    <w:p>
      <w:pPr>
        <w:pStyle w:val="Heading1"/>
      </w:pPr>
      <w:r>
        <w:t xml:space="preserve">5. Relación con las ramas del repositorio</w:t>
      </w:r>
    </w:p>
    <w:p>
      <w:pPr>
        <w:spacing w:after="140" w:line="300"/>
        <w:jc w:val="both"/>
      </w:pPr>
      <w:r>
        <w:t xml:space="preserve">Esta estructura y este documento se crearon en la rama main, que funciona como base del proyecto. Las ramas desarrollo y pruebas se crearon a partir de main, por lo que heredan esta misma estructura, y cada una agrega después su contenido exclusivo: la documentación de arquitectura en desarrollo y los insumos de validación en pruebas.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Página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3A5F"/>
      <w:sz w:val="28"/>
      <w:szCs w:val="28"/>
    </w:rPr>
  </w:style>
  <w:style w:type="paragraph" w:styleId="Heading2">
    <w:name w:val="Heading 2"/>
    <w:basedOn w:val="Normal"/>
    <w:next w:val="Normal"/>
    <w:qFormat/>
    <w:pPr>
      <w:spacing w:after="120" w:before="220"/>
      <w:outlineLvl w:val="1"/>
    </w:pPr>
    <w:rPr>
      <w:rFonts w:ascii="Arial" w:cs="Arial" w:eastAsia="Arial" w:hAnsi="Arial"/>
      <w:b/>
      <w:bCs/>
      <w:color w:val="1F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2026-09-23T18:17:30.583Z</dcterms:created>
  <dcterms:modified xsi:type="dcterms:W3CDTF">2026-09-23T18:17:30.583Z</dcterms:modified>
</cp:coreProperties>
</file>

<file path=docProps/custom.xml><?xml version="1.0" encoding="utf-8"?>
<Properties xmlns="http://schemas.openxmlformats.org/officeDocument/2006/custom-properties" xmlns:vt="http://schemas.openxmlformats.org/officeDocument/2006/docPropsVTypes"/>
</file>