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ПОЛЬЗОВАТЕЛЯ</w:t>
        <w:br/>
        <w:t>IP Watch KZ</w:t>
      </w:r>
    </w:p>
    <w:p>
      <w:r>
        <w:t>Настоящее руководство содержит краткое описание основных функций системы IP Watch KZ и порядок работы с ними.</w:t>
        <w:br/>
      </w:r>
    </w:p>
    <w:p>
      <w:pPr>
        <w:pStyle w:val="Heading1"/>
      </w:pPr>
      <w:r>
        <w:t>1. Назначение системы</w:t>
      </w:r>
    </w:p>
    <w:p>
      <w:r>
        <w:t>IP Watch KZ предназначена для мониторинга заявок и регистраций товарных знаков, поиска совпадений, проведения правовой оценки выявленных обозначений и формирования отчетов.</w:t>
      </w:r>
    </w:p>
    <w:p>
      <w:pPr>
        <w:pStyle w:val="Heading1"/>
      </w:pPr>
      <w:r>
        <w:t>2. Главное меню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Раздел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Главная</w:t>
            </w:r>
          </w:p>
        </w:tc>
        <w:tc>
          <w:tcPr>
            <w:tcW w:type="dxa" w:w="4320"/>
          </w:tcPr>
          <w:p>
            <w:r>
              <w:t>Просмотр общей информации и быстрый запуск проверки.</w:t>
            </w:r>
          </w:p>
        </w:tc>
      </w:tr>
      <w:tr>
        <w:tc>
          <w:tcPr>
            <w:tcW w:type="dxa" w:w="4320"/>
          </w:tcPr>
          <w:p>
            <w:r>
              <w:t>Единый поиск</w:t>
            </w:r>
          </w:p>
        </w:tc>
        <w:tc>
          <w:tcPr>
            <w:tcW w:type="dxa" w:w="4320"/>
          </w:tcPr>
          <w:p>
            <w:r>
              <w:t>Поиск товарных знаков и связанных сведений.</w:t>
            </w:r>
          </w:p>
        </w:tc>
      </w:tr>
      <w:tr>
        <w:tc>
          <w:tcPr>
            <w:tcW w:type="dxa" w:w="4320"/>
          </w:tcPr>
          <w:p>
            <w:r>
              <w:t>Профили мониторинга</w:t>
            </w:r>
          </w:p>
        </w:tc>
        <w:tc>
          <w:tcPr>
            <w:tcW w:type="dxa" w:w="4320"/>
          </w:tcPr>
          <w:p>
            <w:r>
              <w:t>Создание и управление профилями мониторинга.</w:t>
            </w:r>
          </w:p>
        </w:tc>
      </w:tr>
      <w:tr>
        <w:tc>
          <w:tcPr>
            <w:tcW w:type="dxa" w:w="4320"/>
          </w:tcPr>
          <w:p>
            <w:r>
              <w:t>Источники</w:t>
            </w:r>
          </w:p>
        </w:tc>
        <w:tc>
          <w:tcPr>
            <w:tcW w:type="dxa" w:w="4320"/>
          </w:tcPr>
          <w:p>
            <w:r>
              <w:t>Просмотр и настройка источников данных.</w:t>
            </w:r>
          </w:p>
        </w:tc>
      </w:tr>
      <w:tr>
        <w:tc>
          <w:tcPr>
            <w:tcW w:type="dxa" w:w="4320"/>
          </w:tcPr>
          <w:p>
            <w:r>
              <w:t>Запуск проверки</w:t>
            </w:r>
          </w:p>
        </w:tc>
        <w:tc>
          <w:tcPr>
            <w:tcW w:type="dxa" w:w="4320"/>
          </w:tcPr>
          <w:p>
            <w:r>
              <w:t>Ручной запуск проверки.</w:t>
            </w:r>
          </w:p>
        </w:tc>
      </w:tr>
      <w:tr>
        <w:tc>
          <w:tcPr>
            <w:tcW w:type="dxa" w:w="4320"/>
          </w:tcPr>
          <w:p>
            <w:r>
              <w:t>Результаты</w:t>
            </w:r>
          </w:p>
        </w:tc>
        <w:tc>
          <w:tcPr>
            <w:tcW w:type="dxa" w:w="4320"/>
          </w:tcPr>
          <w:p>
            <w:r>
              <w:t>Просмотр совпадений и проведение правовой оценки.</w:t>
            </w:r>
          </w:p>
        </w:tc>
      </w:tr>
      <w:tr>
        <w:tc>
          <w:tcPr>
            <w:tcW w:type="dxa" w:w="4320"/>
          </w:tcPr>
          <w:p>
            <w:r>
              <w:t>Бюллетень Kazpatent</w:t>
            </w:r>
          </w:p>
        </w:tc>
        <w:tc>
          <w:tcPr>
            <w:tcW w:type="dxa" w:w="4320"/>
          </w:tcPr>
          <w:p>
            <w:r>
              <w:t>Просмотр официальных публикаций.</w:t>
            </w:r>
          </w:p>
        </w:tc>
      </w:tr>
      <w:tr>
        <w:tc>
          <w:tcPr>
            <w:tcW w:type="dxa" w:w="4320"/>
          </w:tcPr>
          <w:p>
            <w:r>
              <w:t>Мониторинг законодательства</w:t>
            </w:r>
          </w:p>
        </w:tc>
        <w:tc>
          <w:tcPr>
            <w:tcW w:type="dxa" w:w="4320"/>
          </w:tcPr>
          <w:p>
            <w:r>
              <w:t>Контроль изменений законодательства.</w:t>
            </w:r>
          </w:p>
        </w:tc>
      </w:tr>
      <w:tr>
        <w:tc>
          <w:tcPr>
            <w:tcW w:type="dxa" w:w="4320"/>
          </w:tcPr>
          <w:p>
            <w:r>
              <w:t>Правовая база</w:t>
            </w:r>
          </w:p>
        </w:tc>
        <w:tc>
          <w:tcPr>
            <w:tcW w:type="dxa" w:w="4320"/>
          </w:tcPr>
          <w:p>
            <w:r>
              <w:t>Поиск нормативных правовых актов.</w:t>
            </w:r>
          </w:p>
        </w:tc>
      </w:tr>
      <w:tr>
        <w:tc>
          <w:tcPr>
            <w:tcW w:type="dxa" w:w="4320"/>
          </w:tcPr>
          <w:p>
            <w:r>
              <w:t>Отчеты</w:t>
            </w:r>
          </w:p>
        </w:tc>
        <w:tc>
          <w:tcPr>
            <w:tcW w:type="dxa" w:w="4320"/>
          </w:tcPr>
          <w:p>
            <w:r>
              <w:t>Формирование и экспорт отчетов.</w:t>
            </w:r>
          </w:p>
        </w:tc>
      </w:tr>
      <w:tr>
        <w:tc>
          <w:tcPr>
            <w:tcW w:type="dxa" w:w="4320"/>
          </w:tcPr>
          <w:p>
            <w:r>
              <w:t>Журнал проверок</w:t>
            </w:r>
          </w:p>
        </w:tc>
        <w:tc>
          <w:tcPr>
            <w:tcW w:type="dxa" w:w="4320"/>
          </w:tcPr>
          <w:p>
            <w:r>
              <w:t>История выполненных проверок.</w:t>
            </w:r>
          </w:p>
        </w:tc>
      </w:tr>
      <w:tr>
        <w:tc>
          <w:tcPr>
            <w:tcW w:type="dxa" w:w="4320"/>
          </w:tcPr>
          <w:p>
            <w:r>
              <w:t>Настройки</w:t>
            </w:r>
          </w:p>
        </w:tc>
        <w:tc>
          <w:tcPr>
            <w:tcW w:type="dxa" w:w="4320"/>
          </w:tcPr>
          <w:p>
            <w:r>
              <w:t>Управление параметрами системы и пользователями.</w:t>
            </w:r>
          </w:p>
        </w:tc>
      </w:tr>
    </w:tbl>
    <w:p>
      <w:pPr>
        <w:pStyle w:val="Heading1"/>
      </w:pPr>
      <w:r>
        <w:t>3. Порядок работы</w:t>
      </w:r>
    </w:p>
    <w:p>
      <w:pPr>
        <w:pStyle w:val="Heading2"/>
      </w:pPr>
      <w:r>
        <w:t>Шаг 1. Создание профиля мониторинга</w:t>
      </w:r>
    </w:p>
    <w:p>
      <w:r>
        <w:t>Перейдите в раздел «Профили мониторинга», нажмите «Создать профиль», укажите название профиля, основное обозначение товарного знака и возможные варианты его написания (кириллица, латиница, транслитерация), затем сохраните профиль.</w:t>
      </w:r>
    </w:p>
    <w:p>
      <w:pPr>
        <w:pStyle w:val="Heading2"/>
      </w:pPr>
      <w:r>
        <w:t>Шаг 2. Запуск проверки</w:t>
      </w:r>
    </w:p>
    <w:p>
      <w:r>
        <w:t>Проверку можно выполнить кнопкой «Проверить сейчас» на главной странице либо через раздел «Запуск проверки», выбрав нужный профиль.</w:t>
      </w:r>
    </w:p>
    <w:p>
      <w:pPr>
        <w:pStyle w:val="Heading2"/>
      </w:pPr>
      <w:r>
        <w:t>Шаг 3. Просмотр результатов</w:t>
      </w:r>
    </w:p>
    <w:p>
      <w:r>
        <w:t>Откройте раздел «Результаты», просмотрите найденные совпадения, при необходимости примените фильтры, выполните правовую оценку и присвойте уровень риска.</w:t>
      </w:r>
    </w:p>
    <w:p>
      <w:pPr>
        <w:pStyle w:val="Heading2"/>
      </w:pPr>
      <w:r>
        <w:t>Шаг 4. Формирование отчета</w:t>
      </w:r>
    </w:p>
    <w:p>
      <w:r>
        <w:t>Перейдите в раздел «Отчеты», выберите период и профиль мониторинга, затем сформируйте отчет в формате Excel.</w:t>
      </w:r>
    </w:p>
    <w:p>
      <w:pPr>
        <w:pStyle w:val="Heading1"/>
      </w:pPr>
      <w:r>
        <w:t>4. Дополнительные возможности</w:t>
      </w:r>
    </w:p>
    <w:p>
      <w:pPr>
        <w:pStyle w:val="ListBullet"/>
      </w:pPr>
      <w:r>
        <w:t>Единый поиск – поиск по обозначению, правообладателю, номеру заявки или регистрации.</w:t>
      </w:r>
    </w:p>
    <w:p>
      <w:pPr>
        <w:pStyle w:val="ListBullet"/>
      </w:pPr>
      <w:r>
        <w:t>Бюллетень Kazpatent – просмотр новых публикаций.</w:t>
      </w:r>
    </w:p>
    <w:p>
      <w:pPr>
        <w:pStyle w:val="ListBullet"/>
      </w:pPr>
      <w:r>
        <w:t>Мониторинг законодательства – отслеживание изменений НПА.</w:t>
      </w:r>
    </w:p>
    <w:p>
      <w:pPr>
        <w:pStyle w:val="ListBullet"/>
      </w:pPr>
      <w:r>
        <w:t>Правовая база – поиск нормативных документов.</w:t>
      </w:r>
    </w:p>
    <w:p>
      <w:pPr>
        <w:pStyle w:val="ListBullet"/>
      </w:pPr>
      <w:r>
        <w:t>Журнал проверок – просмотр истории запусков.</w:t>
      </w:r>
    </w:p>
    <w:p>
      <w:pPr>
        <w:pStyle w:val="Heading1"/>
      </w:pPr>
      <w:r>
        <w:t>5. Краткий алгоритм работы</w:t>
      </w:r>
    </w:p>
    <w:p>
      <w:pPr>
        <w:pStyle w:val="ListNumber"/>
      </w:pPr>
      <w:r>
        <w:t>Создать профиль мониторинга.</w:t>
      </w:r>
    </w:p>
    <w:p>
      <w:pPr>
        <w:pStyle w:val="ListNumber"/>
      </w:pPr>
      <w:r>
        <w:t>Запустить проверку.</w:t>
      </w:r>
    </w:p>
    <w:p>
      <w:pPr>
        <w:pStyle w:val="ListNumber"/>
      </w:pPr>
      <w:r>
        <w:t>Проанализировать найденные совпадения.</w:t>
      </w:r>
    </w:p>
    <w:p>
      <w:pPr>
        <w:pStyle w:val="ListNumber"/>
      </w:pPr>
      <w:r>
        <w:t>Провести правовую оценку.</w:t>
      </w:r>
    </w:p>
    <w:p>
      <w:pPr>
        <w:pStyle w:val="ListNumber"/>
      </w:pPr>
      <w:r>
        <w:t>Сформировать отчет.</w:t>
      </w:r>
    </w:p>
    <w:p>
      <w:pPr>
        <w:pStyle w:val="Heading1"/>
      </w:pPr>
      <w:r>
        <w:t>Примечание</w:t>
      </w:r>
    </w:p>
    <w:p>
      <w:r>
        <w:t>Инструкция подготовлена на основании доступного интерфейса системы. При появлении новых функций рекомендуется актуализировать руководство.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