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How We Estimate the Value of Animal Welfare Grants</w:t>
      </w:r>
    </w:p>
    <w:p>
      <w:pPr>
        <w:jc w:val="center"/>
      </w:pPr>
      <w:r>
        <w:rPr>
          <w:color w:val="325AA0"/>
          <w:sz w:val="26"/>
        </w:rPr>
        <w:t>A plain-language guide to the Animal Welfare cost-effectiveness model</w:t>
      </w:r>
    </w:p>
    <w:p/>
    <w:p>
      <w:pPr>
        <w:pStyle w:val="Heading1"/>
      </w:pPr>
      <w:r>
        <w:t>1.  What this model does</w:t>
      </w:r>
    </w:p>
    <w:p>
      <w:pPr>
        <w:spacing w:after="100"/>
      </w:pPr>
      <w:r>
        <w:rPr>
          <w:sz w:val="21"/>
        </w:rPr>
        <w:t>Animals — especially those raised in industrial farming — vastly outnumber humans and may experience substantial suffering. If their welfare matters morally, even a small improvement in how billions of chickens, fish, or shrimp are treated could dwarf the impact of many human-focused interventions.</w:t>
      </w:r>
    </w:p>
    <w:p>
      <w:pPr>
        <w:spacing w:after="100"/>
      </w:pPr>
      <w:r>
        <w:rPr>
          <w:sz w:val="21"/>
        </w:rPr>
        <w:t>Rethink Priorities evaluates animal welfare funds on behalf of Anthropic staff considering where to direct their personal philanthropy. This model estimates how many animal suffering-years are averted per $1 million donated to animal welfare funds. It uses Rethink Priorities' Cross-Cause Cost-Effectiveness Model (CCM) — one of the most detailed empirical estimates of animal welfare intervention effectiveness available — as its primary data source.</w:t>
      </w:r>
    </w:p>
    <w:p>
      <w:pPr>
        <w:spacing w:before="100" w:after="160"/>
        <w:ind w:left="283" w:right="283"/>
        <w:shd w:val="clear" w:color="auto" w:fill="EAF4FB"/>
      </w:pPr>
      <w:r>
        <w:rPr>
          <w:i/>
          <w:color w:val="1A5C82"/>
          <w:sz w:val="20"/>
        </w:rPr>
        <w:t>The numbers in this model are in 'animal suffering-years averted' — not yet converted to human-equivalent welfare units. That final conversion requires a view on how much animal welfare matters relative to human welfare, which varies widely across ethical frameworks and is applied separately downstream.</w:t>
      </w:r>
    </w:p>
    <w:p>
      <w:pPr>
        <w:pStyle w:val="Heading1"/>
      </w:pPr>
      <w:r>
        <w:t>2.  The funds modelled</w:t>
      </w:r>
    </w:p>
    <w:p>
      <w:pPr>
        <w:spacing w:after="100"/>
      </w:pPr>
      <w:r>
        <w:rPr>
          <w:sz w:val="21"/>
        </w:rPr>
        <w:t>Two funds are currently modelled, though the primary output used in downstream analysis is the Combined AW estimate, which represents the marginal impact of additional funding across all EA animal welfare funders.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Fund</w:t>
            </w:r>
          </w:p>
        </w:tc>
        <w:tc>
          <w:tcPr>
            <w:tcW w:type="dxa" w:w="2266"/>
            <w:shd w:val="clear" w:color="auto" w:fill="D2DCF0"/>
          </w:tcPr>
          <w:p>
            <w:r>
              <w:rPr>
                <w:b/>
                <w:color w:val="1E3C78"/>
                <w:sz w:val="19"/>
              </w:rPr>
              <w:t>Annual budget</w:t>
            </w:r>
          </w:p>
        </w:tc>
        <w:tc>
          <w:tcPr>
            <w:tcW w:type="dxa" w:w="2266"/>
            <w:shd w:val="clear" w:color="auto" w:fill="D2DCF0"/>
          </w:tcPr>
          <w:p>
            <w:r>
              <w:rPr>
                <w:b/>
                <w:color w:val="1E3C78"/>
                <w:sz w:val="19"/>
              </w:rPr>
              <w:t>Room for more funding</w:t>
            </w:r>
          </w:p>
        </w:tc>
        <w:tc>
          <w:tcPr>
            <w:tcW w:type="dxa" w:w="2266"/>
            <w:shd w:val="clear" w:color="auto" w:fill="D2DCF0"/>
          </w:tcPr>
          <w:p>
            <w:r>
              <w:rPr>
                <w:b/>
                <w:color w:val="1E3C78"/>
                <w:sz w:val="19"/>
              </w:rPr>
              <w:t>Description</w:t>
            </w:r>
          </w:p>
        </w:tc>
      </w:tr>
      <w:tr>
        <w:tc>
          <w:tcPr>
            <w:tcW w:type="dxa" w:w="2266"/>
            <w:shd w:val="clear" w:color="auto" w:fill="F5F7FC"/>
          </w:tcPr>
          <w:p>
            <w:r>
              <w:rPr>
                <w:sz w:val="19"/>
              </w:rPr>
              <w:t>Combined AW Funds (Marginal)</w:t>
            </w:r>
          </w:p>
        </w:tc>
        <w:tc>
          <w:tcPr>
            <w:tcW w:type="dxa" w:w="2266"/>
            <w:shd w:val="clear" w:color="auto" w:fill="F5F7FC"/>
          </w:tcPr>
          <w:p>
            <w:r>
              <w:rPr>
                <w:sz w:val="19"/>
              </w:rPr>
              <w:t>$26.5M/yr</w:t>
            </w:r>
          </w:p>
        </w:tc>
        <w:tc>
          <w:tcPr>
            <w:tcW w:type="dxa" w:w="2266"/>
            <w:shd w:val="clear" w:color="auto" w:fill="F5F7FC"/>
          </w:tcPr>
          <w:p>
            <w:r>
              <w:rPr>
                <w:sz w:val="19"/>
              </w:rPr>
              <w:t>$79.3M</w:t>
            </w:r>
          </w:p>
        </w:tc>
        <w:tc>
          <w:tcPr>
            <w:tcW w:type="dxa" w:w="2266"/>
            <w:shd w:val="clear" w:color="auto" w:fill="F5F7FC"/>
          </w:tcPr>
          <w:p>
            <w:r>
              <w:rPr>
                <w:sz w:val="19"/>
              </w:rPr>
              <w:t>Weighted aggregate of all EA AW funds; reflects how the next marginal dollar would likely be deployed across the field</w:t>
            </w:r>
          </w:p>
        </w:tc>
      </w:tr>
      <w:tr>
        <w:tc>
          <w:tcPr>
            <w:tcW w:type="dxa" w:w="2266"/>
            <w:shd w:val="clear" w:color="auto" w:fill="FFFFFF"/>
          </w:tcPr>
          <w:p>
            <w:r>
              <w:rPr>
                <w:sz w:val="19"/>
              </w:rPr>
              <w:t>EA Animal Welfare Fund</w:t>
            </w:r>
          </w:p>
        </w:tc>
        <w:tc>
          <w:tcPr>
            <w:tcW w:type="dxa" w:w="2266"/>
            <w:shd w:val="clear" w:color="auto" w:fill="FFFFFF"/>
          </w:tcPr>
          <w:p>
            <w:r>
              <w:rPr>
                <w:sz w:val="19"/>
              </w:rPr>
              <w:t>$3.7M/yr</w:t>
            </w:r>
          </w:p>
        </w:tc>
        <w:tc>
          <w:tcPr>
            <w:tcW w:type="dxa" w:w="2266"/>
            <w:shd w:val="clear" w:color="auto" w:fill="FFFFFF"/>
          </w:tcPr>
          <w:p>
            <w:r>
              <w:rPr>
                <w:sz w:val="19"/>
              </w:rPr>
              <w:t>$6.3M</w:t>
            </w:r>
          </w:p>
        </w:tc>
        <w:tc>
          <w:tcPr>
            <w:tcW w:type="dxa" w:w="2266"/>
            <w:shd w:val="clear" w:color="auto" w:fill="FFFFFF"/>
          </w:tcPr>
          <w:p>
            <w:r>
              <w:rPr>
                <w:sz w:val="19"/>
              </w:rPr>
              <w:t>EA Animal Welfare Fund; a re-granting fund that distributes to effective animal welfare organisations worldwide</w:t>
            </w:r>
          </w:p>
        </w:tc>
      </w:tr>
    </w:tbl>
    <w:p/>
    <w:p>
      <w:pPr>
        <w:pStyle w:val="Heading1"/>
      </w:pPr>
      <w:r>
        <w:t>3.  What interventions are funded</w:t>
      </w:r>
    </w:p>
    <w:p>
      <w:pPr>
        <w:spacing w:after="100"/>
      </w:pPr>
      <w:r>
        <w:rPr>
          <w:sz w:val="21"/>
        </w:rPr>
        <w:t>Animal welfare funds spread money across several types of intervention. Each type targets a different species or advocacy pathway:</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Intervention</w:t>
            </w:r>
          </w:p>
        </w:tc>
        <w:tc>
          <w:tcPr>
            <w:tcW w:type="dxa" w:w="2266"/>
            <w:shd w:val="clear" w:color="auto" w:fill="D2DCF0"/>
          </w:tcPr>
          <w:p>
            <w:r>
              <w:rPr>
                <w:b/>
                <w:color w:val="1E3C78"/>
                <w:sz w:val="19"/>
              </w:rPr>
              <w:t>Share of combined fund</w:t>
            </w:r>
          </w:p>
        </w:tc>
        <w:tc>
          <w:tcPr>
            <w:tcW w:type="dxa" w:w="2266"/>
            <w:shd w:val="clear" w:color="auto" w:fill="D2DCF0"/>
          </w:tcPr>
          <w:p>
            <w:r>
              <w:rPr>
                <w:b/>
                <w:color w:val="1E3C78"/>
                <w:sz w:val="19"/>
              </w:rPr>
              <w:t>Est. impact (weighted by fund share)</w:t>
            </w:r>
          </w:p>
        </w:tc>
        <w:tc>
          <w:tcPr>
            <w:tcW w:type="dxa" w:w="2266"/>
            <w:shd w:val="clear" w:color="auto" w:fill="D2DCF0"/>
          </w:tcPr>
          <w:p>
            <w:r>
              <w:rPr>
                <w:b/>
                <w:color w:val="1E3C78"/>
                <w:sz w:val="19"/>
              </w:rPr>
              <w:t>Effect duration</w:t>
            </w:r>
          </w:p>
        </w:tc>
      </w:tr>
      <w:tr>
        <w:tc>
          <w:tcPr>
            <w:tcW w:type="dxa" w:w="2266"/>
            <w:shd w:val="clear" w:color="auto" w:fill="F5F7FC"/>
          </w:tcPr>
          <w:p>
            <w:r>
              <w:rPr>
                <w:sz w:val="19"/>
              </w:rPr>
              <w:t>Chicken corporate campaigns</w:t>
            </w:r>
          </w:p>
        </w:tc>
        <w:tc>
          <w:tcPr>
            <w:tcW w:type="dxa" w:w="2266"/>
            <w:shd w:val="clear" w:color="auto" w:fill="F5F7FC"/>
          </w:tcPr>
          <w:p>
            <w:r>
              <w:rPr>
                <w:sz w:val="19"/>
              </w:rPr>
              <w:t>51%</w:t>
            </w:r>
          </w:p>
        </w:tc>
        <w:tc>
          <w:tcPr>
            <w:tcW w:type="dxa" w:w="2266"/>
            <w:shd w:val="clear" w:color="auto" w:fill="F5F7FC"/>
          </w:tcPr>
          <w:p>
            <w:r>
              <w:rPr>
                <w:sz w:val="19"/>
              </w:rPr>
              <w:t>Median 409,697 / mean 617,047 aDALYs per $1M</w:t>
            </w:r>
          </w:p>
        </w:tc>
        <w:tc>
          <w:tcPr>
            <w:tcW w:type="dxa" w:w="2266"/>
            <w:shd w:val="clear" w:color="auto" w:fill="F5F7FC"/>
          </w:tcPr>
          <w:p>
            <w:r>
              <w:rPr>
                <w:sz w:val="19"/>
              </w:rPr>
              <w:t>15 years</w:t>
            </w:r>
          </w:p>
        </w:tc>
      </w:tr>
      <w:tr>
        <w:tc>
          <w:tcPr>
            <w:tcW w:type="dxa" w:w="2266"/>
            <w:shd w:val="clear" w:color="auto" w:fill="FFFFFF"/>
          </w:tcPr>
          <w:p>
            <w:r>
              <w:rPr>
                <w:sz w:val="19"/>
              </w:rPr>
              <w:t>Movement building</w:t>
            </w:r>
          </w:p>
        </w:tc>
        <w:tc>
          <w:tcPr>
            <w:tcW w:type="dxa" w:w="2266"/>
            <w:shd w:val="clear" w:color="auto" w:fill="FFFFFF"/>
          </w:tcPr>
          <w:p>
            <w:r>
              <w:rPr>
                <w:sz w:val="19"/>
              </w:rPr>
              <w:t>23%</w:t>
            </w:r>
          </w:p>
        </w:tc>
        <w:tc>
          <w:tcPr>
            <w:tcW w:type="dxa" w:w="2266"/>
            <w:shd w:val="clear" w:color="auto" w:fill="FFFFFF"/>
          </w:tcPr>
          <w:p>
            <w:r>
              <w:rPr>
                <w:sz w:val="19"/>
              </w:rPr>
              <w:t>Median 83,409 / mean 104,892 aDALYs per $1M</w:t>
            </w:r>
          </w:p>
        </w:tc>
        <w:tc>
          <w:tcPr>
            <w:tcW w:type="dxa" w:w="2266"/>
            <w:shd w:val="clear" w:color="auto" w:fill="FFFFFF"/>
          </w:tcPr>
          <w:p>
            <w:r>
              <w:rPr>
                <w:sz w:val="19"/>
              </w:rPr>
              <w:t>10 years</w:t>
            </w:r>
          </w:p>
        </w:tc>
      </w:tr>
      <w:tr>
        <w:tc>
          <w:tcPr>
            <w:tcW w:type="dxa" w:w="2266"/>
            <w:shd w:val="clear" w:color="auto" w:fill="F5F7FC"/>
          </w:tcPr>
          <w:p>
            <w:r>
              <w:rPr>
                <w:sz w:val="19"/>
              </w:rPr>
              <w:t>Policy advocacy</w:t>
            </w:r>
          </w:p>
        </w:tc>
        <w:tc>
          <w:tcPr>
            <w:tcW w:type="dxa" w:w="2266"/>
            <w:shd w:val="clear" w:color="auto" w:fill="F5F7FC"/>
          </w:tcPr>
          <w:p>
            <w:r>
              <w:rPr>
                <w:sz w:val="19"/>
              </w:rPr>
              <w:t>12%</w:t>
            </w:r>
          </w:p>
        </w:tc>
        <w:tc>
          <w:tcPr>
            <w:tcW w:type="dxa" w:w="2266"/>
            <w:shd w:val="clear" w:color="auto" w:fill="F5F7FC"/>
          </w:tcPr>
          <w:p>
            <w:r>
              <w:rPr>
                <w:sz w:val="19"/>
              </w:rPr>
              <w:t>Median 85,938 / mean 108,071 aDALYs per $1M</w:t>
            </w:r>
          </w:p>
        </w:tc>
        <w:tc>
          <w:tcPr>
            <w:tcW w:type="dxa" w:w="2266"/>
            <w:shd w:val="clear" w:color="auto" w:fill="F5F7FC"/>
          </w:tcPr>
          <w:p>
            <w:r>
              <w:rPr>
                <w:sz w:val="19"/>
              </w:rPr>
              <w:t>15 years</w:t>
            </w:r>
          </w:p>
        </w:tc>
      </w:tr>
      <w:tr>
        <w:tc>
          <w:tcPr>
            <w:tcW w:type="dxa" w:w="2266"/>
            <w:shd w:val="clear" w:color="auto" w:fill="FFFFFF"/>
          </w:tcPr>
          <w:p>
            <w:r>
              <w:rPr>
                <w:sz w:val="19"/>
              </w:rPr>
              <w:t>Fish welfare</w:t>
            </w:r>
          </w:p>
        </w:tc>
        <w:tc>
          <w:tcPr>
            <w:tcW w:type="dxa" w:w="2266"/>
            <w:shd w:val="clear" w:color="auto" w:fill="FFFFFF"/>
          </w:tcPr>
          <w:p>
            <w:r>
              <w:rPr>
                <w:sz w:val="19"/>
              </w:rPr>
              <w:t>4%</w:t>
            </w:r>
          </w:p>
        </w:tc>
        <w:tc>
          <w:tcPr>
            <w:tcW w:type="dxa" w:w="2266"/>
            <w:shd w:val="clear" w:color="auto" w:fill="FFFFFF"/>
          </w:tcPr>
          <w:p>
            <w:r>
              <w:rPr>
                <w:sz w:val="19"/>
              </w:rPr>
              <w:t>Median 4,179 / mean 8,226 aDALYs per $1M</w:t>
            </w:r>
          </w:p>
        </w:tc>
        <w:tc>
          <w:tcPr>
            <w:tcW w:type="dxa" w:w="2266"/>
            <w:shd w:val="clear" w:color="auto" w:fill="FFFFFF"/>
          </w:tcPr>
          <w:p>
            <w:r>
              <w:rPr>
                <w:sz w:val="19"/>
              </w:rPr>
              <w:t>10 years</w:t>
            </w:r>
          </w:p>
        </w:tc>
      </w:tr>
      <w:tr>
        <w:tc>
          <w:tcPr>
            <w:tcW w:type="dxa" w:w="2266"/>
            <w:shd w:val="clear" w:color="auto" w:fill="F5F7FC"/>
          </w:tcPr>
          <w:p>
            <w:r>
              <w:rPr>
                <w:sz w:val="19"/>
              </w:rPr>
              <w:t>Wild animal welfare</w:t>
            </w:r>
          </w:p>
        </w:tc>
        <w:tc>
          <w:tcPr>
            <w:tcW w:type="dxa" w:w="2266"/>
            <w:shd w:val="clear" w:color="auto" w:fill="F5F7FC"/>
          </w:tcPr>
          <w:p>
            <w:r>
              <w:rPr>
                <w:sz w:val="19"/>
              </w:rPr>
              <w:t>2%</w:t>
            </w:r>
          </w:p>
        </w:tc>
        <w:tc>
          <w:tcPr>
            <w:tcW w:type="dxa" w:w="2266"/>
            <w:shd w:val="clear" w:color="auto" w:fill="F5F7FC"/>
          </w:tcPr>
          <w:p>
            <w:r>
              <w:rPr>
                <w:sz w:val="19"/>
              </w:rPr>
              <w:t>—</w:t>
            </w:r>
          </w:p>
        </w:tc>
        <w:tc>
          <w:tcPr>
            <w:tcW w:type="dxa" w:w="2266"/>
            <w:shd w:val="clear" w:color="auto" w:fill="F5F7FC"/>
          </w:tcPr>
          <w:p>
            <w:r>
              <w:rPr>
                <w:sz w:val="19"/>
              </w:rPr>
              <w:t>10 years</w:t>
            </w:r>
          </w:p>
        </w:tc>
      </w:tr>
      <w:tr>
        <w:tc>
          <w:tcPr>
            <w:tcW w:type="dxa" w:w="2266"/>
            <w:shd w:val="clear" w:color="auto" w:fill="FFFFFF"/>
          </w:tcPr>
          <w:p>
            <w:r>
              <w:rPr>
                <w:sz w:val="19"/>
              </w:rPr>
              <w:t>Shrimp welfare</w:t>
            </w:r>
          </w:p>
        </w:tc>
        <w:tc>
          <w:tcPr>
            <w:tcW w:type="dxa" w:w="2266"/>
            <w:shd w:val="clear" w:color="auto" w:fill="FFFFFF"/>
          </w:tcPr>
          <w:p>
            <w:r>
              <w:rPr>
                <w:sz w:val="19"/>
              </w:rPr>
              <w:t>2%</w:t>
            </w:r>
          </w:p>
        </w:tc>
        <w:tc>
          <w:tcPr>
            <w:tcW w:type="dxa" w:w="2266"/>
            <w:shd w:val="clear" w:color="auto" w:fill="FFFFFF"/>
          </w:tcPr>
          <w:p>
            <w:r>
              <w:rPr>
                <w:sz w:val="19"/>
              </w:rPr>
              <w:t>Median 36,436 / mean 51,928 aDALYs per $1M</w:t>
            </w:r>
          </w:p>
        </w:tc>
        <w:tc>
          <w:tcPr>
            <w:tcW w:type="dxa" w:w="2266"/>
            <w:shd w:val="clear" w:color="auto" w:fill="FFFFFF"/>
          </w:tcPr>
          <w:p>
            <w:r>
              <w:rPr>
                <w:sz w:val="19"/>
              </w:rPr>
              <w:t>10 years</w:t>
            </w:r>
          </w:p>
        </w:tc>
      </w:tr>
      <w:tr>
        <w:tc>
          <w:tcPr>
            <w:tcW w:type="dxa" w:w="2266"/>
            <w:shd w:val="clear" w:color="auto" w:fill="F5F7FC"/>
          </w:tcPr>
          <w:p>
            <w:r>
              <w:rPr>
                <w:sz w:val="19"/>
              </w:rPr>
              <w:t>Invertebrate welfare</w:t>
            </w:r>
          </w:p>
        </w:tc>
        <w:tc>
          <w:tcPr>
            <w:tcW w:type="dxa" w:w="2266"/>
            <w:shd w:val="clear" w:color="auto" w:fill="F5F7FC"/>
          </w:tcPr>
          <w:p>
            <w:r>
              <w:rPr>
                <w:sz w:val="19"/>
              </w:rPr>
              <w:t>1%</w:t>
            </w:r>
          </w:p>
        </w:tc>
        <w:tc>
          <w:tcPr>
            <w:tcW w:type="dxa" w:w="2266"/>
            <w:shd w:val="clear" w:color="auto" w:fill="F5F7FC"/>
          </w:tcPr>
          <w:p>
            <w:r>
              <w:rPr>
                <w:sz w:val="19"/>
              </w:rPr>
              <w:t>—</w:t>
            </w:r>
          </w:p>
        </w:tc>
        <w:tc>
          <w:tcPr>
            <w:tcW w:type="dxa" w:w="2266"/>
            <w:shd w:val="clear" w:color="auto" w:fill="F5F7FC"/>
          </w:tcPr>
          <w:p>
            <w:r>
              <w:rPr>
                <w:sz w:val="19"/>
              </w:rPr>
              <w:t>10 years</w:t>
            </w:r>
          </w:p>
        </w:tc>
      </w:tr>
    </w:tbl>
    <w:p/>
    <w:p>
      <w:pPr>
        <w:spacing w:after="100"/>
      </w:pPr>
      <w:r>
        <w:rPr>
          <w:sz w:val="21"/>
        </w:rPr>
        <w:t>The 'Est. impact' column shows the suffering-years averted per $1M at the fund level (i.e. already scaled by the intervention's share of the fund budget). The wide gap between median and mean for most interventions reflects high uncertainty — in most optimistic scenarios, interventions perform dramatically better than the median.</w:t>
      </w:r>
    </w:p>
    <w:p>
      <w:pPr>
        <w:spacing w:before="100" w:after="160"/>
        <w:ind w:left="283" w:right="283"/>
        <w:shd w:val="clear" w:color="auto" w:fill="FFFADC"/>
      </w:pPr>
      <w:r>
        <w:rPr>
          <w:i/>
          <w:color w:val="503C00"/>
          <w:sz w:val="20"/>
        </w:rPr>
        <w:t>Note: Chicken corporate campaigns receive more than half the combined fund budget because the Longview Philanthropy Navigation Fund (which dominates by budget) allocates heavily to cage-free campaigns and movement building. As more fund data becomes available, these shares will be refined.</w:t>
      </w:r>
    </w:p>
    <w:p>
      <w:pPr>
        <w:pStyle w:val="Heading1"/>
      </w:pPr>
      <w:r>
        <w:t>4.  Where the estimates come from: the Cross-Cause Model</w:t>
      </w:r>
    </w:p>
    <w:p>
      <w:pPr>
        <w:spacing w:after="100"/>
      </w:pPr>
      <w:r>
        <w:rPr>
          <w:sz w:val="21"/>
        </w:rPr>
        <w:t>The effectiveness numbers come from Rethink Priorities' Cross-Cause Cost-Effectiveness Model (CCM). The CCM synthesises the best available evidence on each intervention — field studies, expert surveys, and meta-analyses — and produces a full distribution of plausible cost-effectiveness estimates, not just a single point.</w:t>
      </w:r>
    </w:p>
    <w:p>
      <w:pPr>
        <w:spacing w:after="100"/>
      </w:pPr>
      <w:r>
        <w:rPr>
          <w:sz w:val="21"/>
        </w:rPr>
        <w:t>For each intervention, the CCM provides 100,000 random samples of 'animal suffering-years averted per $1,000 spent.' These samples capture everything we know and don't know about how effective each intervention is. The wide spreads reflect genuine uncertainty — we simply don't have precise data on, for example, exactly how many chickens are affected by a successful cage-free campaign.</w:t>
      </w:r>
    </w:p>
    <w:p>
      <w:pPr>
        <w:spacing w:before="100" w:after="160"/>
        <w:ind w:left="283" w:right="283"/>
        <w:shd w:val="clear" w:color="auto" w:fill="EAF4FB"/>
      </w:pPr>
      <w:r>
        <w:rPr>
          <w:i/>
          <w:color w:val="1A5C82"/>
          <w:sz w:val="20"/>
        </w:rPr>
        <w:t>These are animal suffering-years, not human-equivalent DALYs. The CCM assigns each species a 'sentience weight' based on evidence about their capacity for conscious experience. This model uses the pre-weight values; the cross-cause moral weighting step (applied downstream) converts them to a comparable basis with human welfare.</w:t>
      </w:r>
    </w:p>
    <w:p>
      <w:pPr>
        <w:spacing w:after="100"/>
      </w:pPr>
      <w:r>
        <w:rPr>
          <w:sz w:val="21"/>
        </w:rPr>
        <w:t>To give a sense of the uncertainty involved, here are CCM estimates for the two largest interventions: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Percentile</w:t>
            </w:r>
          </w:p>
        </w:tc>
        <w:tc>
          <w:tcPr>
            <w:tcW w:type="dxa" w:w="3022"/>
            <w:shd w:val="clear" w:color="auto" w:fill="D2DCF0"/>
          </w:tcPr>
          <w:p>
            <w:r>
              <w:rPr>
                <w:b/>
                <w:color w:val="1E3C78"/>
                <w:sz w:val="19"/>
              </w:rPr>
              <w:t>Per $1,000 spent</w:t>
            </w:r>
          </w:p>
        </w:tc>
        <w:tc>
          <w:tcPr>
            <w:tcW w:type="dxa" w:w="3022"/>
            <w:shd w:val="clear" w:color="auto" w:fill="D2DCF0"/>
          </w:tcPr>
          <w:p>
            <w:r>
              <w:rPr>
                <w:b/>
                <w:color w:val="1E3C78"/>
                <w:sz w:val="19"/>
              </w:rPr>
              <w:t>Per $1M (at fund share)</w:t>
            </w:r>
          </w:p>
        </w:tc>
      </w:tr>
      <w:tr>
        <w:tc>
          <w:tcPr>
            <w:tcW w:type="dxa" w:w="3022"/>
            <w:shd w:val="clear" w:color="auto" w:fill="F5F7FC"/>
          </w:tcPr>
          <w:p>
            <w:r>
              <w:rPr>
                <w:sz w:val="19"/>
              </w:rPr>
              <w:t>10th (pessimistic)</w:t>
            </w:r>
          </w:p>
        </w:tc>
        <w:tc>
          <w:tcPr>
            <w:tcW w:type="dxa" w:w="3022"/>
            <w:shd w:val="clear" w:color="auto" w:fill="F5F7FC"/>
          </w:tcPr>
          <w:p>
            <w:r>
              <w:rPr>
                <w:sz w:val="19"/>
              </w:rPr>
              <w:t>247</w:t>
            </w:r>
          </w:p>
        </w:tc>
        <w:tc>
          <w:tcPr>
            <w:tcW w:type="dxa" w:w="3022"/>
            <w:shd w:val="clear" w:color="auto" w:fill="F5F7FC"/>
          </w:tcPr>
          <w:p>
            <w:r>
              <w:rPr>
                <w:sz w:val="19"/>
              </w:rPr>
              <w:t>126,418</w:t>
            </w:r>
          </w:p>
        </w:tc>
      </w:tr>
      <w:tr>
        <w:tc>
          <w:tcPr>
            <w:tcW w:type="dxa" w:w="3022"/>
            <w:shd w:val="clear" w:color="auto" w:fill="FFFFFF"/>
          </w:tcPr>
          <w:p>
            <w:r>
              <w:rPr>
                <w:sz w:val="19"/>
              </w:rPr>
              <w:t>50th (median)</w:t>
            </w:r>
          </w:p>
        </w:tc>
        <w:tc>
          <w:tcPr>
            <w:tcW w:type="dxa" w:w="3022"/>
            <w:shd w:val="clear" w:color="auto" w:fill="FFFFFF"/>
          </w:tcPr>
          <w:p>
            <w:r>
              <w:rPr>
                <w:sz w:val="19"/>
              </w:rPr>
              <w:t>800</w:t>
            </w:r>
          </w:p>
        </w:tc>
        <w:tc>
          <w:tcPr>
            <w:tcW w:type="dxa" w:w="3022"/>
            <w:shd w:val="clear" w:color="auto" w:fill="FFFFFF"/>
          </w:tcPr>
          <w:p>
            <w:r>
              <w:rPr>
                <w:sz w:val="19"/>
              </w:rPr>
              <w:t>409,697</w:t>
            </w:r>
          </w:p>
        </w:tc>
      </w:tr>
      <w:tr>
        <w:tc>
          <w:tcPr>
            <w:tcW w:type="dxa" w:w="3022"/>
            <w:shd w:val="clear" w:color="auto" w:fill="F5F7FC"/>
          </w:tcPr>
          <w:p>
            <w:r>
              <w:rPr>
                <w:sz w:val="19"/>
              </w:rPr>
              <w:t>Mean</w:t>
            </w:r>
          </w:p>
        </w:tc>
        <w:tc>
          <w:tcPr>
            <w:tcW w:type="dxa" w:w="3022"/>
            <w:shd w:val="clear" w:color="auto" w:fill="F5F7FC"/>
          </w:tcPr>
          <w:p>
            <w:r>
              <w:rPr>
                <w:sz w:val="19"/>
              </w:rPr>
              <w:t>1,205</w:t>
            </w:r>
          </w:p>
        </w:tc>
        <w:tc>
          <w:tcPr>
            <w:tcW w:type="dxa" w:w="3022"/>
            <w:shd w:val="clear" w:color="auto" w:fill="F5F7FC"/>
          </w:tcPr>
          <w:p>
            <w:r>
              <w:rPr>
                <w:sz w:val="19"/>
              </w:rPr>
              <w:t>617,047</w:t>
            </w:r>
          </w:p>
        </w:tc>
      </w:tr>
      <w:tr>
        <w:tc>
          <w:tcPr>
            <w:tcW w:type="dxa" w:w="3022"/>
            <w:shd w:val="clear" w:color="auto" w:fill="FFFFFF"/>
          </w:tcPr>
          <w:p>
            <w:r>
              <w:rPr>
                <w:sz w:val="19"/>
              </w:rPr>
              <w:t>90th (optimistic)</w:t>
            </w:r>
          </w:p>
        </w:tc>
        <w:tc>
          <w:tcPr>
            <w:tcW w:type="dxa" w:w="3022"/>
            <w:shd w:val="clear" w:color="auto" w:fill="FFFFFF"/>
          </w:tcPr>
          <w:p>
            <w:r>
              <w:rPr>
                <w:sz w:val="19"/>
              </w:rPr>
              <w:t>2,588</w:t>
            </w:r>
          </w:p>
        </w:tc>
        <w:tc>
          <w:tcPr>
            <w:tcW w:type="dxa" w:w="3022"/>
            <w:shd w:val="clear" w:color="auto" w:fill="FFFFFF"/>
          </w:tcPr>
          <w:p>
            <w:r>
              <w:rPr>
                <w:sz w:val="19"/>
              </w:rPr>
              <w:t>1,324,918</w:t>
            </w:r>
          </w:p>
        </w:tc>
      </w:tr>
    </w:tbl>
    <w:p/>
    <w:p>
      <w:pPr>
        <w:spacing w:after="100"/>
      </w:pPr>
      <w:r>
        <w:rPr>
          <w:sz w:val="21"/>
        </w:rPr>
        <w:t>Table: Chicken corporate campaigns (CCM uncertainty at fund share 51%)</w:t>
      </w:r>
    </w:p>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Percentile</w:t>
            </w:r>
          </w:p>
        </w:tc>
        <w:tc>
          <w:tcPr>
            <w:tcW w:type="dxa" w:w="3022"/>
            <w:shd w:val="clear" w:color="auto" w:fill="D2DCF0"/>
          </w:tcPr>
          <w:p>
            <w:r>
              <w:rPr>
                <w:b/>
                <w:color w:val="1E3C78"/>
                <w:sz w:val="19"/>
              </w:rPr>
              <w:t>Per $1,000 spent</w:t>
            </w:r>
          </w:p>
        </w:tc>
        <w:tc>
          <w:tcPr>
            <w:tcW w:type="dxa" w:w="3022"/>
            <w:shd w:val="clear" w:color="auto" w:fill="D2DCF0"/>
          </w:tcPr>
          <w:p>
            <w:r>
              <w:rPr>
                <w:b/>
                <w:color w:val="1E3C78"/>
                <w:sz w:val="19"/>
              </w:rPr>
              <w:t>Per $1M (at fund share)</w:t>
            </w:r>
          </w:p>
        </w:tc>
      </w:tr>
      <w:tr>
        <w:tc>
          <w:tcPr>
            <w:tcW w:type="dxa" w:w="3022"/>
            <w:shd w:val="clear" w:color="auto" w:fill="F5F7FC"/>
          </w:tcPr>
          <w:p>
            <w:r>
              <w:rPr>
                <w:sz w:val="19"/>
              </w:rPr>
              <w:t>10th (pessimistic)</w:t>
            </w:r>
          </w:p>
        </w:tc>
        <w:tc>
          <w:tcPr>
            <w:tcW w:type="dxa" w:w="3022"/>
            <w:shd w:val="clear" w:color="auto" w:fill="F5F7FC"/>
          </w:tcPr>
          <w:p>
            <w:r>
              <w:rPr>
                <w:sz w:val="19"/>
              </w:rPr>
              <w:t>167</w:t>
            </w:r>
          </w:p>
        </w:tc>
        <w:tc>
          <w:tcPr>
            <w:tcW w:type="dxa" w:w="3022"/>
            <w:shd w:val="clear" w:color="auto" w:fill="F5F7FC"/>
          </w:tcPr>
          <w:p>
            <w:r>
              <w:rPr>
                <w:sz w:val="19"/>
              </w:rPr>
              <w:t>38,524</w:t>
            </w:r>
          </w:p>
        </w:tc>
      </w:tr>
      <w:tr>
        <w:tc>
          <w:tcPr>
            <w:tcW w:type="dxa" w:w="3022"/>
            <w:shd w:val="clear" w:color="auto" w:fill="FFFFFF"/>
          </w:tcPr>
          <w:p>
            <w:r>
              <w:rPr>
                <w:sz w:val="19"/>
              </w:rPr>
              <w:t>50th (median)</w:t>
            </w:r>
          </w:p>
        </w:tc>
        <w:tc>
          <w:tcPr>
            <w:tcW w:type="dxa" w:w="3022"/>
            <w:shd w:val="clear" w:color="auto" w:fill="FFFFFF"/>
          </w:tcPr>
          <w:p>
            <w:r>
              <w:rPr>
                <w:sz w:val="19"/>
              </w:rPr>
              <w:t>361</w:t>
            </w:r>
          </w:p>
        </w:tc>
        <w:tc>
          <w:tcPr>
            <w:tcW w:type="dxa" w:w="3022"/>
            <w:shd w:val="clear" w:color="auto" w:fill="FFFFFF"/>
          </w:tcPr>
          <w:p>
            <w:r>
              <w:rPr>
                <w:sz w:val="19"/>
              </w:rPr>
              <w:t>83,409</w:t>
            </w:r>
          </w:p>
        </w:tc>
      </w:tr>
      <w:tr>
        <w:tc>
          <w:tcPr>
            <w:tcW w:type="dxa" w:w="3022"/>
            <w:shd w:val="clear" w:color="auto" w:fill="F5F7FC"/>
          </w:tcPr>
          <w:p>
            <w:r>
              <w:rPr>
                <w:sz w:val="19"/>
              </w:rPr>
              <w:t>Mean</w:t>
            </w:r>
          </w:p>
        </w:tc>
        <w:tc>
          <w:tcPr>
            <w:tcW w:type="dxa" w:w="3022"/>
            <w:shd w:val="clear" w:color="auto" w:fill="F5F7FC"/>
          </w:tcPr>
          <w:p>
            <w:r>
              <w:rPr>
                <w:sz w:val="19"/>
              </w:rPr>
              <w:t>454</w:t>
            </w:r>
          </w:p>
        </w:tc>
        <w:tc>
          <w:tcPr>
            <w:tcW w:type="dxa" w:w="3022"/>
            <w:shd w:val="clear" w:color="auto" w:fill="F5F7FC"/>
          </w:tcPr>
          <w:p>
            <w:r>
              <w:rPr>
                <w:sz w:val="19"/>
              </w:rPr>
              <w:t>104,892</w:t>
            </w:r>
          </w:p>
        </w:tc>
      </w:tr>
      <w:tr>
        <w:tc>
          <w:tcPr>
            <w:tcW w:type="dxa" w:w="3022"/>
            <w:shd w:val="clear" w:color="auto" w:fill="FFFFFF"/>
          </w:tcPr>
          <w:p>
            <w:r>
              <w:rPr>
                <w:sz w:val="19"/>
              </w:rPr>
              <w:t>90th (optimistic)</w:t>
            </w:r>
          </w:p>
        </w:tc>
        <w:tc>
          <w:tcPr>
            <w:tcW w:type="dxa" w:w="3022"/>
            <w:shd w:val="clear" w:color="auto" w:fill="FFFFFF"/>
          </w:tcPr>
          <w:p>
            <w:r>
              <w:rPr>
                <w:sz w:val="19"/>
              </w:rPr>
              <w:t>836</w:t>
            </w:r>
          </w:p>
        </w:tc>
        <w:tc>
          <w:tcPr>
            <w:tcW w:type="dxa" w:w="3022"/>
            <w:shd w:val="clear" w:color="auto" w:fill="FFFFFF"/>
          </w:tcPr>
          <w:p>
            <w:r>
              <w:rPr>
                <w:sz w:val="19"/>
              </w:rPr>
              <w:t>193,063</w:t>
            </w:r>
          </w:p>
        </w:tc>
      </w:tr>
    </w:tbl>
    <w:p/>
    <w:p>
      <w:pPr>
        <w:spacing w:after="100"/>
      </w:pPr>
      <w:r>
        <w:rPr>
          <w:sz w:val="21"/>
        </w:rPr>
        <w:t>Table: Movement building (CCM uncertainty at fund share 23%)</w:t>
      </w:r>
    </w:p>
    <w:p/>
    <w:p>
      <w:pPr>
        <w:pStyle w:val="Heading1"/>
      </w:pPr>
      <w:r>
        <w:t>5.  When do benefits happen?</w:t>
      </w:r>
    </w:p>
    <w:p>
      <w:pPr>
        <w:spacing w:after="100"/>
      </w:pPr>
      <w:r>
        <w:rPr>
          <w:sz w:val="21"/>
        </w:rPr>
        <w:t>Unlike global health interventions (where a vaccine prevents a death this year), animal welfare interventions work through corporate commitments, policy changes, and cultural shifts. Their effects take time to materialise and persist for a limited window.</w:t>
      </w:r>
    </w:p>
    <w:p>
      <w:pPr>
        <w:spacing w:after="100"/>
      </w:pPr>
      <w:r>
        <w:rPr>
          <w:sz w:val="21"/>
        </w:rPr>
        <w:t>Each CCM intervention specifies two timing parameters:</w:t>
      </w:r>
    </w:p>
    <w:p>
      <w:pPr>
        <w:pStyle w:val="ListBullet"/>
        <w:spacing w:after="60"/>
      </w:pPr>
      <w:r>
        <w:rPr>
          <w:b/>
          <w:sz w:val="21"/>
        </w:rPr>
        <w:t xml:space="preserve">Effect start. </w:t>
      </w:r>
      <w:r>
        <w:rPr>
          <w:sz w:val="21"/>
        </w:rPr>
        <w:t>Start year — when the effect first kicks in (typically year 1 for most interventions).</w:t>
      </w:r>
    </w:p>
    <w:p>
      <w:pPr>
        <w:pStyle w:val="ListBullet"/>
        <w:spacing w:after="60"/>
      </w:pPr>
      <w:r>
        <w:rPr>
          <w:b/>
          <w:sz w:val="21"/>
        </w:rPr>
        <w:t xml:space="preserve">Duration. </w:t>
      </w:r>
      <w:r>
        <w:rPr>
          <w:sz w:val="21"/>
        </w:rPr>
        <w:t>Persistence — how many years the effect continues (10–15 years for most AW interventions).</w:t>
      </w:r>
    </w:p>
    <w:p>
      <w:pPr>
        <w:spacing w:after="100"/>
      </w:pPr>
      <w:r>
        <w:rPr>
          <w:sz w:val="21"/>
        </w:rPr>
        <w:t>The effect is then spread proportionally across whichever time windows overlap with the persistence period:</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Intervention</w:t>
            </w:r>
          </w:p>
        </w:tc>
        <w:tc>
          <w:tcPr>
            <w:tcW w:type="dxa" w:w="2266"/>
            <w:shd w:val="clear" w:color="auto" w:fill="D2DCF0"/>
          </w:tcPr>
          <w:p>
            <w:r>
              <w:rPr>
                <w:b/>
                <w:color w:val="1E3C78"/>
                <w:sz w:val="19"/>
              </w:rPr>
              <w:t>Effect starts</w:t>
            </w:r>
          </w:p>
        </w:tc>
        <w:tc>
          <w:tcPr>
            <w:tcW w:type="dxa" w:w="2266"/>
            <w:shd w:val="clear" w:color="auto" w:fill="D2DCF0"/>
          </w:tcPr>
          <w:p>
            <w:r>
              <w:rPr>
                <w:b/>
                <w:color w:val="1E3C78"/>
                <w:sz w:val="19"/>
              </w:rPr>
              <w:t>Lasts</w:t>
            </w:r>
          </w:p>
        </w:tc>
        <w:tc>
          <w:tcPr>
            <w:tcW w:type="dxa" w:w="2266"/>
            <w:shd w:val="clear" w:color="auto" w:fill="D2DCF0"/>
          </w:tcPr>
          <w:p>
            <w:r>
              <w:rPr>
                <w:b/>
                <w:color w:val="1E3C78"/>
                <w:sz w:val="19"/>
              </w:rPr>
              <w:t>Which time windows receive weight</w:t>
            </w:r>
          </w:p>
        </w:tc>
      </w:tr>
      <w:tr>
        <w:tc>
          <w:tcPr>
            <w:tcW w:type="dxa" w:w="2266"/>
            <w:shd w:val="clear" w:color="auto" w:fill="F5F7FC"/>
          </w:tcPr>
          <w:p>
            <w:r>
              <w:rPr>
                <w:sz w:val="19"/>
              </w:rPr>
              <w:t>Chicken corporate campaigns</w:t>
            </w:r>
          </w:p>
        </w:tc>
        <w:tc>
          <w:tcPr>
            <w:tcW w:type="dxa" w:w="2266"/>
            <w:shd w:val="clear" w:color="auto" w:fill="F5F7FC"/>
          </w:tcPr>
          <w:p>
            <w:r>
              <w:rPr>
                <w:sz w:val="19"/>
              </w:rPr>
              <w:t>Year 1</w:t>
            </w:r>
          </w:p>
        </w:tc>
        <w:tc>
          <w:tcPr>
            <w:tcW w:type="dxa" w:w="2266"/>
            <w:shd w:val="clear" w:color="auto" w:fill="F5F7FC"/>
          </w:tcPr>
          <w:p>
            <w:r>
              <w:rPr>
                <w:sz w:val="19"/>
              </w:rPr>
              <w:t>15 years</w:t>
            </w:r>
          </w:p>
        </w:tc>
        <w:tc>
          <w:tcPr>
            <w:tcW w:type="dxa" w:w="2266"/>
            <w:shd w:val="clear" w:color="auto" w:fill="F5F7FC"/>
          </w:tcPr>
          <w:p>
            <w:r>
              <w:rPr>
                <w:sz w:val="19"/>
              </w:rPr>
              <w:t>0–5 yr, 5–10 yr, 10–20 yr (proportionally)</w:t>
            </w:r>
          </w:p>
        </w:tc>
      </w:tr>
      <w:tr>
        <w:tc>
          <w:tcPr>
            <w:tcW w:type="dxa" w:w="2266"/>
            <w:shd w:val="clear" w:color="auto" w:fill="FFFFFF"/>
          </w:tcPr>
          <w:p>
            <w:r>
              <w:rPr>
                <w:sz w:val="19"/>
              </w:rPr>
              <w:t>Movement building</w:t>
            </w:r>
          </w:p>
        </w:tc>
        <w:tc>
          <w:tcPr>
            <w:tcW w:type="dxa" w:w="2266"/>
            <w:shd w:val="clear" w:color="auto" w:fill="FFFFFF"/>
          </w:tcPr>
          <w:p>
            <w:r>
              <w:rPr>
                <w:sz w:val="19"/>
              </w:rPr>
              <w:t>Year 4</w:t>
            </w:r>
          </w:p>
        </w:tc>
        <w:tc>
          <w:tcPr>
            <w:tcW w:type="dxa" w:w="2266"/>
            <w:shd w:val="clear" w:color="auto" w:fill="FFFFFF"/>
          </w:tcPr>
          <w:p>
            <w:r>
              <w:rPr>
                <w:sz w:val="19"/>
              </w:rPr>
              <w:t>10 years</w:t>
            </w:r>
          </w:p>
        </w:tc>
        <w:tc>
          <w:tcPr>
            <w:tcW w:type="dxa" w:w="2266"/>
            <w:shd w:val="clear" w:color="auto" w:fill="FFFFFF"/>
          </w:tcPr>
          <w:p>
            <w:r>
              <w:rPr>
                <w:sz w:val="19"/>
              </w:rPr>
              <w:t>0–5 yr, 5–10 yr, 10–20 yr (proportionally)</w:t>
            </w:r>
          </w:p>
        </w:tc>
      </w:tr>
      <w:tr>
        <w:tc>
          <w:tcPr>
            <w:tcW w:type="dxa" w:w="2266"/>
            <w:shd w:val="clear" w:color="auto" w:fill="F5F7FC"/>
          </w:tcPr>
          <w:p>
            <w:r>
              <w:rPr>
                <w:sz w:val="19"/>
              </w:rPr>
              <w:t>Policy advocacy</w:t>
            </w:r>
          </w:p>
        </w:tc>
        <w:tc>
          <w:tcPr>
            <w:tcW w:type="dxa" w:w="2266"/>
            <w:shd w:val="clear" w:color="auto" w:fill="F5F7FC"/>
          </w:tcPr>
          <w:p>
            <w:r>
              <w:rPr>
                <w:sz w:val="19"/>
              </w:rPr>
              <w:t>Year 4</w:t>
            </w:r>
          </w:p>
        </w:tc>
        <w:tc>
          <w:tcPr>
            <w:tcW w:type="dxa" w:w="2266"/>
            <w:shd w:val="clear" w:color="auto" w:fill="F5F7FC"/>
          </w:tcPr>
          <w:p>
            <w:r>
              <w:rPr>
                <w:sz w:val="19"/>
              </w:rPr>
              <w:t>15 years</w:t>
            </w:r>
          </w:p>
        </w:tc>
        <w:tc>
          <w:tcPr>
            <w:tcW w:type="dxa" w:w="2266"/>
            <w:shd w:val="clear" w:color="auto" w:fill="F5F7FC"/>
          </w:tcPr>
          <w:p>
            <w:r>
              <w:rPr>
                <w:sz w:val="19"/>
              </w:rPr>
              <w:t>0–5 yr, 5–10 yr, 10–20 yr (proportionally)</w:t>
            </w:r>
          </w:p>
        </w:tc>
      </w:tr>
      <w:tr>
        <w:tc>
          <w:tcPr>
            <w:tcW w:type="dxa" w:w="2266"/>
            <w:shd w:val="clear" w:color="auto" w:fill="FFFFFF"/>
          </w:tcPr>
          <w:p>
            <w:r>
              <w:rPr>
                <w:sz w:val="19"/>
              </w:rPr>
              <w:t>Fish welfare</w:t>
            </w:r>
          </w:p>
        </w:tc>
        <w:tc>
          <w:tcPr>
            <w:tcW w:type="dxa" w:w="2266"/>
            <w:shd w:val="clear" w:color="auto" w:fill="FFFFFF"/>
          </w:tcPr>
          <w:p>
            <w:r>
              <w:rPr>
                <w:sz w:val="19"/>
              </w:rPr>
              <w:t>Year 1</w:t>
            </w:r>
          </w:p>
        </w:tc>
        <w:tc>
          <w:tcPr>
            <w:tcW w:type="dxa" w:w="2266"/>
            <w:shd w:val="clear" w:color="auto" w:fill="FFFFFF"/>
          </w:tcPr>
          <w:p>
            <w:r>
              <w:rPr>
                <w:sz w:val="19"/>
              </w:rPr>
              <w:t>10 years</w:t>
            </w:r>
          </w:p>
        </w:tc>
        <w:tc>
          <w:tcPr>
            <w:tcW w:type="dxa" w:w="2266"/>
            <w:shd w:val="clear" w:color="auto" w:fill="FFFFFF"/>
          </w:tcPr>
          <w:p>
            <w:r>
              <w:rPr>
                <w:sz w:val="19"/>
              </w:rPr>
              <w:t>0–5 yr, 5–10 yr, 10–20 yr (proportionally)</w:t>
            </w:r>
          </w:p>
        </w:tc>
      </w:tr>
      <w:tr>
        <w:tc>
          <w:tcPr>
            <w:tcW w:type="dxa" w:w="2266"/>
            <w:shd w:val="clear" w:color="auto" w:fill="F5F7FC"/>
          </w:tcPr>
          <w:p>
            <w:r>
              <w:rPr>
                <w:sz w:val="19"/>
              </w:rPr>
              <w:t>Shrimp welfare</w:t>
            </w:r>
          </w:p>
        </w:tc>
        <w:tc>
          <w:tcPr>
            <w:tcW w:type="dxa" w:w="2266"/>
            <w:shd w:val="clear" w:color="auto" w:fill="F5F7FC"/>
          </w:tcPr>
          <w:p>
            <w:r>
              <w:rPr>
                <w:sz w:val="19"/>
              </w:rPr>
              <w:t>Year 1</w:t>
            </w:r>
          </w:p>
        </w:tc>
        <w:tc>
          <w:tcPr>
            <w:tcW w:type="dxa" w:w="2266"/>
            <w:shd w:val="clear" w:color="auto" w:fill="F5F7FC"/>
          </w:tcPr>
          <w:p>
            <w:r>
              <w:rPr>
                <w:sz w:val="19"/>
              </w:rPr>
              <w:t>10 years</w:t>
            </w:r>
          </w:p>
        </w:tc>
        <w:tc>
          <w:tcPr>
            <w:tcW w:type="dxa" w:w="2266"/>
            <w:shd w:val="clear" w:color="auto" w:fill="F5F7FC"/>
          </w:tcPr>
          <w:p>
            <w:r>
              <w:rPr>
                <w:sz w:val="19"/>
              </w:rPr>
              <w:t>0–5 yr, 5–10 yr, 10–20 yr (proportionally)</w:t>
            </w:r>
          </w:p>
        </w:tc>
      </w:tr>
      <w:tr>
        <w:tc>
          <w:tcPr>
            <w:tcW w:type="dxa" w:w="2266"/>
            <w:shd w:val="clear" w:color="auto" w:fill="FFFFFF"/>
          </w:tcPr>
          <w:p>
            <w:r>
              <w:rPr>
                <w:sz w:val="19"/>
              </w:rPr>
              <w:t>Wild animal welfare</w:t>
            </w:r>
          </w:p>
        </w:tc>
        <w:tc>
          <w:tcPr>
            <w:tcW w:type="dxa" w:w="2266"/>
            <w:shd w:val="clear" w:color="auto" w:fill="FFFFFF"/>
          </w:tcPr>
          <w:p>
            <w:r>
              <w:rPr>
                <w:sz w:val="19"/>
              </w:rPr>
              <w:t>Year 10</w:t>
            </w:r>
          </w:p>
        </w:tc>
        <w:tc>
          <w:tcPr>
            <w:tcW w:type="dxa" w:w="2266"/>
            <w:shd w:val="clear" w:color="auto" w:fill="FFFFFF"/>
          </w:tcPr>
          <w:p>
            <w:r>
              <w:rPr>
                <w:sz w:val="19"/>
              </w:rPr>
              <w:t>10 years</w:t>
            </w:r>
          </w:p>
        </w:tc>
        <w:tc>
          <w:tcPr>
            <w:tcW w:type="dxa" w:w="2266"/>
            <w:shd w:val="clear" w:color="auto" w:fill="FFFFFF"/>
          </w:tcPr>
          <w:p>
            <w:r>
              <w:rPr>
                <w:sz w:val="19"/>
              </w:rPr>
              <w:t>0–5 yr, 5–10 yr, 10–20 yr (proportionally)</w:t>
            </w:r>
          </w:p>
        </w:tc>
      </w:tr>
      <w:tr>
        <w:tc>
          <w:tcPr>
            <w:tcW w:type="dxa" w:w="2266"/>
            <w:shd w:val="clear" w:color="auto" w:fill="F5F7FC"/>
          </w:tcPr>
          <w:p>
            <w:r>
              <w:rPr>
                <w:sz w:val="19"/>
              </w:rPr>
              <w:t>Invertebrate welfare</w:t>
            </w:r>
          </w:p>
        </w:tc>
        <w:tc>
          <w:tcPr>
            <w:tcW w:type="dxa" w:w="2266"/>
            <w:shd w:val="clear" w:color="auto" w:fill="F5F7FC"/>
          </w:tcPr>
          <w:p>
            <w:r>
              <w:rPr>
                <w:sz w:val="19"/>
              </w:rPr>
              <w:t>Year 10</w:t>
            </w:r>
          </w:p>
        </w:tc>
        <w:tc>
          <w:tcPr>
            <w:tcW w:type="dxa" w:w="2266"/>
            <w:shd w:val="clear" w:color="auto" w:fill="F5F7FC"/>
          </w:tcPr>
          <w:p>
            <w:r>
              <w:rPr>
                <w:sz w:val="19"/>
              </w:rPr>
              <w:t>10 years</w:t>
            </w:r>
          </w:p>
        </w:tc>
        <w:tc>
          <w:tcPr>
            <w:tcW w:type="dxa" w:w="2266"/>
            <w:shd w:val="clear" w:color="auto" w:fill="F5F7FC"/>
          </w:tcPr>
          <w:p>
            <w:r>
              <w:rPr>
                <w:sz w:val="19"/>
              </w:rPr>
              <w:t>0–5 yr, 5–10 yr, 10–20 yr (proportionally)</w:t>
            </w:r>
          </w:p>
        </w:tc>
      </w:tr>
    </w:tbl>
    <w:p/>
    <w:p>
      <w:pPr>
        <w:spacing w:before="100" w:after="160"/>
        <w:ind w:left="283" w:right="283"/>
        <w:shd w:val="clear" w:color="auto" w:fill="FFFADC"/>
      </w:pPr>
      <w:r>
        <w:rPr>
          <w:i/>
          <w:color w:val="503C00"/>
          <w:sz w:val="20"/>
        </w:rPr>
        <w:t>Note: All current AW interventions have their effects entirely within the first 20 years. The t3 (20–100 yr), t4 (100–500 yr), and t5 (500+ yr) columns are zero for all AW interventions. This contrasts sharply with GCR models, where the entire value of survival extends across all of human (and post-human) history.</w:t>
      </w:r>
    </w:p>
    <w:p>
      <w:pPr>
        <w:pStyle w:val="Heading1"/>
      </w:pPr>
      <w:r>
        <w:t>6.  What happens if we give more?</w:t>
      </w:r>
    </w:p>
    <w:p>
      <w:pPr>
        <w:spacing w:after="100"/>
      </w:pPr>
      <w:r>
        <w:rPr>
          <w:sz w:val="21"/>
        </w:rPr>
        <w:t>Animal welfare organisations have limited absorptive capacity — there are only so many high-quality cage-free campaigns to run, so many lobbyists to hire, and so much movement infrastructure to build. The model therefore adjusts cost-effectiveness downward as the total budget grows:</w:t>
      </w:r>
    </w:p>
    <w:tbl>
      <w:tblPr>
        <w:tblStyle w:val="TableGrid"/>
        <w:tblW w:type="auto" w:w="0"/>
        <w:tblLook w:firstColumn="1" w:firstRow="1" w:lastColumn="0" w:lastRow="0" w:noHBand="0" w:noVBand="1" w:val="04A0"/>
      </w:tblPr>
      <w:tblGrid>
        <w:gridCol w:w="4533"/>
        <w:gridCol w:w="4533"/>
      </w:tblGrid>
      <w:tr>
        <w:tc>
          <w:tcPr>
            <w:tcW w:type="dxa" w:w="4533"/>
            <w:shd w:val="clear" w:color="auto" w:fill="D2DCF0"/>
          </w:tcPr>
          <w:p>
            <w:r>
              <w:rPr>
                <w:b/>
                <w:color w:val="1E3C78"/>
                <w:sz w:val="19"/>
              </w:rPr>
              <w:t>Budget level (cumulative)</w:t>
            </w:r>
          </w:p>
        </w:tc>
        <w:tc>
          <w:tcPr>
            <w:tcW w:type="dxa" w:w="4533"/>
            <w:shd w:val="clear" w:color="auto" w:fill="D2DCF0"/>
          </w:tcPr>
          <w:p>
            <w:r>
              <w:rPr>
                <w:b/>
                <w:color w:val="1E3C78"/>
                <w:sz w:val="19"/>
              </w:rPr>
              <w:t>Marginal CE as fraction of baseline</w:t>
            </w:r>
          </w:p>
        </w:tc>
      </w:tr>
      <w:tr>
        <w:tc>
          <w:tcPr>
            <w:tcW w:type="dxa" w:w="4533"/>
            <w:shd w:val="clear" w:color="auto" w:fill="F5F7FC"/>
          </w:tcPr>
          <w:p>
            <w:r>
              <w:rPr>
                <w:sz w:val="19"/>
              </w:rPr>
              <w:t>$10.0M</w:t>
            </w:r>
          </w:p>
        </w:tc>
        <w:tc>
          <w:tcPr>
            <w:tcW w:type="dxa" w:w="4533"/>
            <w:shd w:val="clear" w:color="auto" w:fill="F5F7FC"/>
          </w:tcPr>
          <w:p>
            <w:r>
              <w:rPr>
                <w:sz w:val="19"/>
              </w:rPr>
              <w:t>100%</w:t>
            </w:r>
          </w:p>
        </w:tc>
      </w:tr>
      <w:tr>
        <w:tc>
          <w:tcPr>
            <w:tcW w:type="dxa" w:w="4533"/>
            <w:shd w:val="clear" w:color="auto" w:fill="FFFFFF"/>
          </w:tcPr>
          <w:p>
            <w:r>
              <w:rPr>
                <w:sz w:val="19"/>
              </w:rPr>
              <w:t>$26.5M</w:t>
            </w:r>
          </w:p>
        </w:tc>
        <w:tc>
          <w:tcPr>
            <w:tcW w:type="dxa" w:w="4533"/>
            <w:shd w:val="clear" w:color="auto" w:fill="FFFFFF"/>
          </w:tcPr>
          <w:p>
            <w:r>
              <w:rPr>
                <w:sz w:val="19"/>
              </w:rPr>
              <w:t>95%</w:t>
            </w:r>
          </w:p>
        </w:tc>
      </w:tr>
      <w:tr>
        <w:tc>
          <w:tcPr>
            <w:tcW w:type="dxa" w:w="4533"/>
            <w:shd w:val="clear" w:color="auto" w:fill="F5F7FC"/>
          </w:tcPr>
          <w:p>
            <w:r>
              <w:rPr>
                <w:sz w:val="19"/>
              </w:rPr>
              <w:t>$55.0M</w:t>
            </w:r>
          </w:p>
        </w:tc>
        <w:tc>
          <w:tcPr>
            <w:tcW w:type="dxa" w:w="4533"/>
            <w:shd w:val="clear" w:color="auto" w:fill="F5F7FC"/>
          </w:tcPr>
          <w:p>
            <w:r>
              <w:rPr>
                <w:sz w:val="19"/>
              </w:rPr>
              <w:t>82%</w:t>
            </w:r>
          </w:p>
        </w:tc>
      </w:tr>
      <w:tr>
        <w:tc>
          <w:tcPr>
            <w:tcW w:type="dxa" w:w="4533"/>
            <w:shd w:val="clear" w:color="auto" w:fill="FFFFFF"/>
          </w:tcPr>
          <w:p>
            <w:r>
              <w:rPr>
                <w:sz w:val="19"/>
              </w:rPr>
              <w:t>$100.0M</w:t>
            </w:r>
          </w:p>
        </w:tc>
        <w:tc>
          <w:tcPr>
            <w:tcW w:type="dxa" w:w="4533"/>
            <w:shd w:val="clear" w:color="auto" w:fill="FFFFFF"/>
          </w:tcPr>
          <w:p>
            <w:r>
              <w:rPr>
                <w:sz w:val="19"/>
              </w:rPr>
              <w:t>55%</w:t>
            </w:r>
          </w:p>
        </w:tc>
      </w:tr>
      <w:tr>
        <w:tc>
          <w:tcPr>
            <w:tcW w:type="dxa" w:w="4533"/>
            <w:shd w:val="clear" w:color="auto" w:fill="F5F7FC"/>
          </w:tcPr>
          <w:p>
            <w:r>
              <w:rPr>
                <w:sz w:val="19"/>
              </w:rPr>
              <w:t>$160.0M</w:t>
            </w:r>
          </w:p>
        </w:tc>
        <w:tc>
          <w:tcPr>
            <w:tcW w:type="dxa" w:w="4533"/>
            <w:shd w:val="clear" w:color="auto" w:fill="F5F7FC"/>
          </w:tcPr>
          <w:p>
            <w:r>
              <w:rPr>
                <w:sz w:val="19"/>
              </w:rPr>
              <w:t>35%</w:t>
            </w:r>
          </w:p>
        </w:tc>
      </w:tr>
    </w:tbl>
    <w:p/>
    <w:p>
      <w:pPr>
        <w:spacing w:after="100"/>
      </w:pPr>
      <w:r>
        <w:rPr>
          <w:sz w:val="21"/>
        </w:rPr>
        <w:t>For example, the combined AW fund maintains close to baseline cost-effectiveness up to about $55M, then drops more steeply as the field becomes saturated relative to what can be productively deployed. Beyond the final anchor point, the model assumes cost-effectiveness falls as 1/(budget scale), reflecting increasing difficulty of finding additional high-quality opportunities.</w:t>
      </w:r>
    </w:p>
    <w:p>
      <w:pPr>
        <w:pStyle w:val="Heading1"/>
      </w:pPr>
      <w:r>
        <w:t>7.  Nine views of the same uncertainty</w:t>
      </w:r>
    </w:p>
    <w:p>
      <w:pPr>
        <w:spacing w:after="100"/>
      </w:pPr>
      <w:r>
        <w:rPr>
          <w:sz w:val="21"/>
        </w:rPr>
        <w:t>Because the CCM provides 100,000 samples per intervention (capturing the full distribution from pessimistic to optimistic), we can ask: how should we summarise this distribution? Different ethical frameworks disagree.</w:t>
      </w:r>
    </w:p>
    <w:p>
      <w:pPr>
        <w:spacing w:after="100"/>
      </w:pPr>
      <w:r>
        <w:rPr>
          <w:sz w:val="21"/>
        </w:rPr>
        <w:t>Animal welfare interventions tend to have particularly heavy right tails — the most optimistic scenarios are dramatically better than the median. This makes the choice of risk profile very consequential:</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Profile</w:t>
            </w:r>
          </w:p>
        </w:tc>
        <w:tc>
          <w:tcPr>
            <w:tcW w:type="dxa" w:w="3022"/>
            <w:shd w:val="clear" w:color="auto" w:fill="D2DCF0"/>
          </w:tcPr>
          <w:p>
            <w:r>
              <w:rPr>
                <w:b/>
                <w:color w:val="1E3C78"/>
                <w:sz w:val="19"/>
              </w:rPr>
              <w:t>Relative to neutral (mean)</w:t>
            </w:r>
          </w:p>
        </w:tc>
        <w:tc>
          <w:tcPr>
            <w:tcW w:type="dxa" w:w="3022"/>
            <w:shd w:val="clear" w:color="auto" w:fill="D2DCF0"/>
          </w:tcPr>
          <w:p>
            <w:r>
              <w:rPr>
                <w:b/>
                <w:color w:val="1E3C78"/>
                <w:sz w:val="19"/>
              </w:rPr>
              <w:t>What drives the difference for AW</w:t>
            </w:r>
          </w:p>
        </w:tc>
      </w:tr>
      <w:tr>
        <w:tc>
          <w:tcPr>
            <w:tcW w:type="dxa" w:w="3022"/>
            <w:shd w:val="clear" w:color="auto" w:fill="F5F7FC"/>
          </w:tcPr>
          <w:p>
            <w:r>
              <w:rPr>
                <w:sz w:val="19"/>
              </w:rPr>
              <w:t>Neutral (mean)</w:t>
            </w:r>
          </w:p>
        </w:tc>
        <w:tc>
          <w:tcPr>
            <w:tcW w:type="dxa" w:w="3022"/>
            <w:shd w:val="clear" w:color="auto" w:fill="F5F7FC"/>
          </w:tcPr>
          <w:p>
            <w:r>
              <w:rPr>
                <w:sz w:val="19"/>
              </w:rPr>
              <w:t>Baseline</w:t>
            </w:r>
          </w:p>
        </w:tc>
        <w:tc>
          <w:tcPr>
            <w:tcW w:type="dxa" w:w="3022"/>
            <w:shd w:val="clear" w:color="auto" w:fill="F5F7FC"/>
          </w:tcPr>
          <w:p>
            <w:r>
              <w:rPr>
                <w:sz w:val="19"/>
              </w:rPr>
              <w:t>Includes full weight of extremely optimistic scenarios</w:t>
            </w:r>
          </w:p>
        </w:tc>
      </w:tr>
      <w:tr>
        <w:tc>
          <w:tcPr>
            <w:tcW w:type="dxa" w:w="3022"/>
            <w:shd w:val="clear" w:color="auto" w:fill="FFFFFF"/>
          </w:tcPr>
          <w:p>
            <w:r>
              <w:rPr>
                <w:sz w:val="19"/>
              </w:rPr>
              <w:t>Upside</w:t>
            </w:r>
          </w:p>
        </w:tc>
        <w:tc>
          <w:tcPr>
            <w:tcW w:type="dxa" w:w="3022"/>
            <w:shd w:val="clear" w:color="auto" w:fill="FFFFFF"/>
          </w:tcPr>
          <w:p>
            <w:r>
              <w:rPr>
                <w:sz w:val="19"/>
              </w:rPr>
              <w:t>Somewhat lower</w:t>
            </w:r>
          </w:p>
        </w:tc>
        <w:tc>
          <w:tcPr>
            <w:tcW w:type="dxa" w:w="3022"/>
            <w:shd w:val="clear" w:color="auto" w:fill="FFFFFF"/>
          </w:tcPr>
          <w:p>
            <w:r>
              <w:rPr>
                <w:sz w:val="19"/>
              </w:rPr>
              <w:t>Clips the most extreme upper-tail scenarios</w:t>
            </w:r>
          </w:p>
        </w:tc>
      </w:tr>
      <w:tr>
        <w:tc>
          <w:tcPr>
            <w:tcW w:type="dxa" w:w="3022"/>
            <w:shd w:val="clear" w:color="auto" w:fill="F5F7FC"/>
          </w:tcPr>
          <w:p>
            <w:r>
              <w:rPr>
                <w:sz w:val="19"/>
              </w:rPr>
              <w:t>Downside</w:t>
            </w:r>
          </w:p>
        </w:tc>
        <w:tc>
          <w:tcPr>
            <w:tcW w:type="dxa" w:w="3022"/>
            <w:shd w:val="clear" w:color="auto" w:fill="F5F7FC"/>
          </w:tcPr>
          <w:p>
            <w:r>
              <w:rPr>
                <w:sz w:val="19"/>
              </w:rPr>
              <w:t>Lower</w:t>
            </w:r>
          </w:p>
        </w:tc>
        <w:tc>
          <w:tcPr>
            <w:tcW w:type="dxa" w:w="3022"/>
            <w:shd w:val="clear" w:color="auto" w:fill="F5F7FC"/>
          </w:tcPr>
          <w:p>
            <w:r>
              <w:rPr>
                <w:sz w:val="19"/>
              </w:rPr>
              <w:t>Penalises variance; AW has high variance</w:t>
            </w:r>
          </w:p>
        </w:tc>
      </w:tr>
      <w:tr>
        <w:tc>
          <w:tcPr>
            <w:tcW w:type="dxa" w:w="3022"/>
            <w:shd w:val="clear" w:color="auto" w:fill="FFFFFF"/>
          </w:tcPr>
          <w:p>
            <w:r>
              <w:rPr>
                <w:sz w:val="19"/>
              </w:rPr>
              <w:t>Combined</w:t>
            </w:r>
          </w:p>
        </w:tc>
        <w:tc>
          <w:tcPr>
            <w:tcW w:type="dxa" w:w="3022"/>
            <w:shd w:val="clear" w:color="auto" w:fill="FFFFFF"/>
          </w:tcPr>
          <w:p>
            <w:r>
              <w:rPr>
                <w:sz w:val="19"/>
              </w:rPr>
              <w:t>Much lower</w:t>
            </w:r>
          </w:p>
        </w:tc>
        <w:tc>
          <w:tcPr>
            <w:tcW w:type="dxa" w:w="3022"/>
            <w:shd w:val="clear" w:color="auto" w:fill="FFFFFF"/>
          </w:tcPr>
          <w:p>
            <w:r>
              <w:rPr>
                <w:sz w:val="19"/>
              </w:rPr>
              <w:t>Both tail clipping and variance penalty</w:t>
            </w:r>
          </w:p>
        </w:tc>
      </w:tr>
      <w:tr>
        <w:tc>
          <w:tcPr>
            <w:tcW w:type="dxa" w:w="3022"/>
            <w:shd w:val="clear" w:color="auto" w:fill="F5F7FC"/>
          </w:tcPr>
          <w:p>
            <w:r>
              <w:rPr>
                <w:sz w:val="19"/>
              </w:rPr>
              <w:t>DMREU</w:t>
            </w:r>
          </w:p>
        </w:tc>
        <w:tc>
          <w:tcPr>
            <w:tcW w:type="dxa" w:w="3022"/>
            <w:shd w:val="clear" w:color="auto" w:fill="F5F7FC"/>
          </w:tcPr>
          <w:p>
            <w:r>
              <w:rPr>
                <w:sz w:val="19"/>
              </w:rPr>
              <w:t>Lower</w:t>
            </w:r>
          </w:p>
        </w:tc>
        <w:tc>
          <w:tcPr>
            <w:tcW w:type="dxa" w:w="3022"/>
            <w:shd w:val="clear" w:color="auto" w:fill="F5F7FC"/>
          </w:tcPr>
          <w:p>
            <w:r>
              <w:rPr>
                <w:sz w:val="19"/>
              </w:rPr>
              <w:t>Formal risk aversion; grows with tail magnitude</w:t>
            </w:r>
          </w:p>
        </w:tc>
      </w:tr>
      <w:tr>
        <w:tc>
          <w:tcPr>
            <w:tcW w:type="dxa" w:w="3022"/>
            <w:shd w:val="clear" w:color="auto" w:fill="FFFFFF"/>
          </w:tcPr>
          <w:p>
            <w:r>
              <w:rPr>
                <w:sz w:val="19"/>
              </w:rPr>
              <w:t>WLU (low/mod/high)</w:t>
            </w:r>
          </w:p>
        </w:tc>
        <w:tc>
          <w:tcPr>
            <w:tcW w:type="dxa" w:w="3022"/>
            <w:shd w:val="clear" w:color="auto" w:fill="FFFFFF"/>
          </w:tcPr>
          <w:p>
            <w:r>
              <w:rPr>
                <w:sz w:val="19"/>
              </w:rPr>
              <w:t>Lower–much lower</w:t>
            </w:r>
          </w:p>
        </w:tc>
        <w:tc>
          <w:tcPr>
            <w:tcW w:type="dxa" w:w="3022"/>
            <w:shd w:val="clear" w:color="auto" w:fill="FFFFFF"/>
          </w:tcPr>
          <w:p>
            <w:r>
              <w:rPr>
                <w:sz w:val="19"/>
              </w:rPr>
              <w:t>Concave weighting; very sensitive to AW's heavy tail</w:t>
            </w:r>
          </w:p>
        </w:tc>
      </w:tr>
      <w:tr>
        <w:tc>
          <w:tcPr>
            <w:tcW w:type="dxa" w:w="3022"/>
            <w:shd w:val="clear" w:color="auto" w:fill="F5F7FC"/>
          </w:tcPr>
          <w:p>
            <w:r>
              <w:rPr>
                <w:sz w:val="19"/>
              </w:rPr>
              <w:t>Ambiguity</w:t>
            </w:r>
          </w:p>
        </w:tc>
        <w:tc>
          <w:tcPr>
            <w:tcW w:type="dxa" w:w="3022"/>
            <w:shd w:val="clear" w:color="auto" w:fill="F5F7FC"/>
          </w:tcPr>
          <w:p>
            <w:r>
              <w:rPr>
                <w:sz w:val="19"/>
              </w:rPr>
              <w:t>Much lower</w:t>
            </w:r>
          </w:p>
        </w:tc>
        <w:tc>
          <w:tcPr>
            <w:tcW w:type="dxa" w:w="3022"/>
            <w:shd w:val="clear" w:color="auto" w:fill="F5F7FC"/>
          </w:tcPr>
          <w:p>
            <w:r>
              <w:rPr>
                <w:sz w:val="19"/>
              </w:rPr>
              <w:t>Discounts deep uncertainty; AW estimates are especially uncertain</w:t>
            </w:r>
          </w:p>
        </w:tc>
      </w:tr>
    </w:tbl>
    <w:p/>
    <w:p>
      <w:pPr>
        <w:spacing w:before="100" w:after="160"/>
        <w:ind w:left="283" w:right="283"/>
        <w:shd w:val="clear" w:color="auto" w:fill="EAF4FB"/>
      </w:pPr>
      <w:r>
        <w:rPr>
          <w:i/>
          <w:color w:val="1A5C82"/>
          <w:sz w:val="20"/>
        </w:rPr>
        <w:t>For animal welfare, the gap between the 'neutral' and 'combined' or 'ambiguity' profiles is often larger than for other cause areas. This is because AW cost-effectiveness estimates have very wide distributions — the difference between a campaign that succeeds and one that fails is enormous, and we genuinely don't know which will happen.</w:t>
      </w:r>
    </w:p>
    <w:p>
      <w:pPr>
        <w:pStyle w:val="Heading1"/>
      </w:pPr>
      <w:r>
        <w:t>8.  Key limitations and honest caveats</w:t>
      </w:r>
    </w:p>
    <w:p>
      <w:pPr>
        <w:pStyle w:val="ListBullet"/>
        <w:spacing w:after="60"/>
      </w:pPr>
      <w:r>
        <w:rPr>
          <w:b/>
          <w:sz w:val="21"/>
        </w:rPr>
        <w:t xml:space="preserve">Moral weights not yet applied. </w:t>
      </w:r>
      <w:r>
        <w:rPr>
          <w:sz w:val="21"/>
        </w:rPr>
        <w:t>The numbers are in pre-moral-weight animal suffering-years. To compare with human welfare or GCR work, you need to apply a cross-cause moral weight — which is deeply contested. Some people think animal welfare is negligible; others think it may be the most important cause area. The model cannot resolve that debate.</w:t>
      </w:r>
    </w:p>
    <w:p>
      <w:pPr>
        <w:pStyle w:val="ListBullet"/>
        <w:spacing w:after="60"/>
      </w:pPr>
      <w:r>
        <w:rPr>
          <w:b/>
          <w:sz w:val="21"/>
        </w:rPr>
        <w:t xml:space="preserve">Evidence base is thin. </w:t>
      </w:r>
      <w:r>
        <w:rPr>
          <w:sz w:val="21"/>
        </w:rPr>
        <w:t>CCM estimates are derived from limited empirical evidence. Corporate campaigns in particular rely heavily on extrapolation from a small number of documented successes. The wide confidence intervals reflect genuine ignorance, not well-characterised uncertainty.</w:t>
      </w:r>
    </w:p>
    <w:p>
      <w:pPr>
        <w:pStyle w:val="ListBullet"/>
        <w:spacing w:after="60"/>
      </w:pPr>
      <w:r>
        <w:rPr>
          <w:b/>
          <w:sz w:val="21"/>
        </w:rPr>
        <w:t xml:space="preserve">Incomplete coverage. </w:t>
      </w:r>
      <w:r>
        <w:rPr>
          <w:sz w:val="21"/>
        </w:rPr>
        <w:t>The model covers seven intervention categories. Important types of work — including alternative proteins, regulatory advocacy, and farmed mammal welfare — are not yet included or are represented by placeholder values.</w:t>
      </w:r>
    </w:p>
    <w:p>
      <w:pPr>
        <w:pStyle w:val="ListBullet"/>
        <w:spacing w:after="60"/>
      </w:pPr>
      <w:r>
        <w:rPr>
          <w:b/>
          <w:sz w:val="21"/>
        </w:rPr>
        <w:t xml:space="preserve">Fund split uncertainty. </w:t>
      </w:r>
      <w:r>
        <w:rPr>
          <w:sz w:val="21"/>
        </w:rPr>
        <w:t>The fund splits (how much of each fund's budget goes to which intervention type) are estimated from grant reports and qualitative descriptions, not directly confirmed by fund managers. Particularly for newer funds, these estimates carry significant uncertainty.</w:t>
      </w:r>
    </w:p>
    <w:p>
      <w:pPr>
        <w:pStyle w:val="ListBullet"/>
        <w:spacing w:after="60"/>
      </w:pPr>
      <w:r>
        <w:rPr>
          <w:b/>
          <w:sz w:val="21"/>
        </w:rPr>
        <w:t xml:space="preserve">No long-run effects. </w:t>
      </w:r>
      <w:r>
        <w:rPr>
          <w:sz w:val="21"/>
        </w:rPr>
        <w:t>All effects are modelled as occurring within 20 years. If some welfare improvements (e.g. cultural or regulatory shifts) have effects that compound over much longer periods, the model will underestimate their value.</w:t>
      </w:r>
    </w:p>
    <w:p>
      <w:pPr>
        <w:pStyle w:val="Heading1"/>
      </w:pPr>
      <w:r>
        <w:t>9.  Summary at a glance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Item</w:t>
            </w:r>
          </w:p>
        </w:tc>
        <w:tc>
          <w:tcPr>
            <w:tcW w:type="dxa" w:w="3022"/>
            <w:shd w:val="clear" w:color="auto" w:fill="D2DCF0"/>
          </w:tcPr>
          <w:p>
            <w:r>
              <w:rPr>
                <w:b/>
                <w:color w:val="1E3C78"/>
                <w:sz w:val="19"/>
              </w:rPr>
              <w:t>Combined AW fund</w:t>
            </w:r>
          </w:p>
        </w:tc>
        <w:tc>
          <w:tcPr>
            <w:tcW w:type="dxa" w:w="3022"/>
            <w:shd w:val="clear" w:color="auto" w:fill="D2DCF0"/>
          </w:tcPr>
          <w:p>
            <w:r>
              <w:rPr>
                <w:b/>
                <w:color w:val="1E3C78"/>
                <w:sz w:val="19"/>
              </w:rPr>
              <w:t>EA Animal Welfare Fund</w:t>
            </w:r>
          </w:p>
        </w:tc>
      </w:tr>
      <w:tr>
        <w:tc>
          <w:tcPr>
            <w:tcW w:type="dxa" w:w="3022"/>
            <w:shd w:val="clear" w:color="auto" w:fill="F5F7FC"/>
          </w:tcPr>
          <w:p>
            <w:r>
              <w:rPr>
                <w:sz w:val="19"/>
              </w:rPr>
              <w:t>Annual budget</w:t>
            </w:r>
          </w:p>
        </w:tc>
        <w:tc>
          <w:tcPr>
            <w:tcW w:type="dxa" w:w="3022"/>
            <w:shd w:val="clear" w:color="auto" w:fill="F5F7FC"/>
          </w:tcPr>
          <w:p>
            <w:r>
              <w:rPr>
                <w:sz w:val="19"/>
              </w:rPr>
              <w:t>$26.5M</w:t>
            </w:r>
          </w:p>
        </w:tc>
        <w:tc>
          <w:tcPr>
            <w:tcW w:type="dxa" w:w="3022"/>
            <w:shd w:val="clear" w:color="auto" w:fill="F5F7FC"/>
          </w:tcPr>
          <w:p>
            <w:r>
              <w:rPr>
                <w:sz w:val="19"/>
              </w:rPr>
              <w:t>$3.7M</w:t>
            </w:r>
          </w:p>
        </w:tc>
      </w:tr>
      <w:tr>
        <w:tc>
          <w:tcPr>
            <w:tcW w:type="dxa" w:w="3022"/>
            <w:shd w:val="clear" w:color="auto" w:fill="FFFFFF"/>
          </w:tcPr>
          <w:p>
            <w:r>
              <w:rPr>
                <w:sz w:val="19"/>
              </w:rPr>
              <w:t>Room for more funding</w:t>
            </w:r>
          </w:p>
        </w:tc>
        <w:tc>
          <w:tcPr>
            <w:tcW w:type="dxa" w:w="3022"/>
            <w:shd w:val="clear" w:color="auto" w:fill="FFFFFF"/>
          </w:tcPr>
          <w:p>
            <w:r>
              <w:rPr>
                <w:sz w:val="19"/>
              </w:rPr>
              <w:t>$79.3M</w:t>
            </w:r>
          </w:p>
        </w:tc>
        <w:tc>
          <w:tcPr>
            <w:tcW w:type="dxa" w:w="3022"/>
            <w:shd w:val="clear" w:color="auto" w:fill="FFFFFF"/>
          </w:tcPr>
          <w:p>
            <w:r>
              <w:rPr>
                <w:sz w:val="19"/>
              </w:rPr>
              <w:t>$6.3M</w:t>
            </w:r>
          </w:p>
        </w:tc>
      </w:tr>
      <w:tr>
        <w:tc>
          <w:tcPr>
            <w:tcW w:type="dxa" w:w="3022"/>
            <w:shd w:val="clear" w:color="auto" w:fill="F5F7FC"/>
          </w:tcPr>
          <w:p>
            <w:r>
              <w:rPr>
                <w:sz w:val="19"/>
              </w:rPr>
              <w:t>Number of interventions modelled</w:t>
            </w:r>
          </w:p>
        </w:tc>
        <w:tc>
          <w:tcPr>
            <w:tcW w:type="dxa" w:w="3022"/>
            <w:shd w:val="clear" w:color="auto" w:fill="F5F7FC"/>
          </w:tcPr>
          <w:p>
            <w:r>
              <w:rPr>
                <w:sz w:val="19"/>
              </w:rPr>
              <w:t>7</w:t>
            </w:r>
          </w:p>
        </w:tc>
        <w:tc>
          <w:tcPr>
            <w:tcW w:type="dxa" w:w="3022"/>
            <w:shd w:val="clear" w:color="auto" w:fill="F5F7FC"/>
          </w:tcPr>
          <w:p>
            <w:r>
              <w:rPr>
                <w:sz w:val="19"/>
              </w:rPr>
              <w:t>7</w:t>
            </w:r>
          </w:p>
        </w:tc>
      </w:tr>
      <w:tr>
        <w:tc>
          <w:tcPr>
            <w:tcW w:type="dxa" w:w="3022"/>
            <w:shd w:val="clear" w:color="auto" w:fill="FFFFFF"/>
          </w:tcPr>
          <w:p>
            <w:r>
              <w:rPr>
                <w:sz w:val="19"/>
              </w:rPr>
              <w:t>Largest single intervention (by budget share)</w:t>
            </w:r>
          </w:p>
        </w:tc>
        <w:tc>
          <w:tcPr>
            <w:tcW w:type="dxa" w:w="3022"/>
            <w:shd w:val="clear" w:color="auto" w:fill="FFFFFF"/>
          </w:tcPr>
          <w:p>
            <w:r>
              <w:rPr>
                <w:sz w:val="19"/>
              </w:rPr>
              <w:t>Chicken corporate campaigns (51%)</w:t>
            </w:r>
          </w:p>
        </w:tc>
        <w:tc>
          <w:tcPr>
            <w:tcW w:type="dxa" w:w="3022"/>
            <w:shd w:val="clear" w:color="auto" w:fill="FFFFFF"/>
          </w:tcPr>
          <w:p>
            <w:r>
              <w:rPr>
                <w:sz w:val="19"/>
              </w:rPr>
              <w:t>Chicken corporate campaigns (35%)</w:t>
            </w:r>
          </w:p>
        </w:tc>
      </w:tr>
      <w:tr>
        <w:tc>
          <w:tcPr>
            <w:tcW w:type="dxa" w:w="3022"/>
            <w:shd w:val="clear" w:color="auto" w:fill="F5F7FC"/>
          </w:tcPr>
          <w:p>
            <w:r>
              <w:rPr>
                <w:sz w:val="19"/>
              </w:rPr>
              <w:t>CCM samples per intervention</w:t>
            </w:r>
          </w:p>
        </w:tc>
        <w:tc>
          <w:tcPr>
            <w:tcW w:type="dxa" w:w="3022"/>
            <w:shd w:val="clear" w:color="auto" w:fill="F5F7FC"/>
          </w:tcPr>
          <w:p>
            <w:r>
              <w:rPr>
                <w:sz w:val="19"/>
              </w:rPr>
              <w:t>100,000 (full) or 10,000 (fallback)</w:t>
            </w:r>
          </w:p>
        </w:tc>
        <w:tc>
          <w:tcPr>
            <w:tcW w:type="dxa" w:w="3022"/>
            <w:shd w:val="clear" w:color="auto" w:fill="F5F7FC"/>
          </w:tcPr>
          <w:p>
            <w:r>
              <w:rPr>
                <w:sz w:val="19"/>
              </w:rPr>
              <w:t>100,000 (full) or 10,000 (fallback)</w:t>
            </w:r>
          </w:p>
        </w:tc>
      </w:tr>
      <w:tr>
        <w:tc>
          <w:tcPr>
            <w:tcW w:type="dxa" w:w="3022"/>
            <w:shd w:val="clear" w:color="auto" w:fill="FFFFFF"/>
          </w:tcPr>
          <w:p>
            <w:r>
              <w:rPr>
                <w:sz w:val="19"/>
              </w:rPr>
              <w:t>Time horizon of effects</w:t>
            </w:r>
          </w:p>
        </w:tc>
        <w:tc>
          <w:tcPr>
            <w:tcW w:type="dxa" w:w="3022"/>
            <w:shd w:val="clear" w:color="auto" w:fill="FFFFFF"/>
          </w:tcPr>
          <w:p>
            <w:r>
              <w:rPr>
                <w:sz w:val="19"/>
              </w:rPr>
              <w:t>0–20 years</w:t>
            </w:r>
          </w:p>
        </w:tc>
        <w:tc>
          <w:tcPr>
            <w:tcW w:type="dxa" w:w="3022"/>
            <w:shd w:val="clear" w:color="auto" w:fill="FFFFFF"/>
          </w:tcPr>
          <w:p>
            <w:r>
              <w:rPr>
                <w:sz w:val="19"/>
              </w:rPr>
              <w:t>0–20 years</w:t>
            </w:r>
          </w:p>
        </w:tc>
      </w:tr>
      <w:tr>
        <w:tc>
          <w:tcPr>
            <w:tcW w:type="dxa" w:w="3022"/>
            <w:shd w:val="clear" w:color="auto" w:fill="F5F7FC"/>
          </w:tcPr>
          <w:p>
            <w:r>
              <w:rPr>
                <w:sz w:val="19"/>
              </w:rPr>
              <w:t>Units</w:t>
            </w:r>
          </w:p>
        </w:tc>
        <w:tc>
          <w:tcPr>
            <w:tcW w:type="dxa" w:w="3022"/>
            <w:shd w:val="clear" w:color="auto" w:fill="F5F7FC"/>
          </w:tcPr>
          <w:p>
            <w:r>
              <w:rPr>
                <w:sz w:val="19"/>
              </w:rPr>
              <w:t>Animal suffering-years / $1M (pre-moral-weight)</w:t>
            </w:r>
          </w:p>
        </w:tc>
        <w:tc>
          <w:tcPr>
            <w:tcW w:type="dxa" w:w="3022"/>
            <w:shd w:val="clear" w:color="auto" w:fill="F5F7FC"/>
          </w:tcPr>
          <w:p>
            <w:r>
              <w:rPr>
                <w:sz w:val="19"/>
              </w:rPr>
              <w:t>Animal suffering-years / $1M (pre-moral-weight)</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