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How We Estimate the Value of GCR Grants</w:t>
      </w:r>
    </w:p>
    <w:p>
      <w:pPr>
        <w:jc w:val="center"/>
      </w:pPr>
      <w:r>
        <w:rPr>
          <w:color w:val="325AA0"/>
          <w:sz w:val="26"/>
        </w:rPr>
        <w:t>A plain-language guide to the Global Catastrophic Risk intervention model</w:t>
      </w:r>
    </w:p>
    <w:p/>
    <w:p>
      <w:pPr>
        <w:pStyle w:val="Heading1"/>
      </w:pPr>
      <w:r>
        <w:t>1.  What this model does</w:t>
      </w:r>
    </w:p>
    <w:p>
      <w:pPr>
        <w:spacing w:after="100"/>
      </w:pPr>
      <w:r>
        <w:rPr>
          <w:sz w:val="21"/>
        </w:rPr>
        <w:t>Rethink Priorities evaluates charitable giving opportunities on behalf of donors — in this case, Anthropic staff considering where to direct their personal philanthropy. One category of giving is organisations working to reduce global catastrophic risks (GCRs): events that could kill enormous numbers of people or permanently curtail humanity's future, such as engineered pandemics, nuclear war, or dangerous artificial intelligence. These events are rare but potentially enormous in consequence, and ordinary cost-effectiveness tools don't handle them well.</w:t>
      </w:r>
    </w:p>
    <w:p>
      <w:pPr>
        <w:spacing w:after="100"/>
      </w:pPr>
      <w:r>
        <w:rPr>
          <w:sz w:val="21"/>
        </w:rPr>
        <w:t>This model asks: if an Anthropic staff member donates $X to one of these funds, how much does humanity's chance of surviving this century — and thriving long into the future — increase? The answer is expressed as an expected value: the probability-weighted sum of all the good the grant might do, across all the possible ways the future could unfold.</w:t>
      </w:r>
    </w:p>
    <w:p>
      <w:pPr>
        <w:spacing w:before="100" w:after="160"/>
        <w:ind w:left="283" w:right="283"/>
        <w:shd w:val="clear" w:color="auto" w:fill="EAF4FB"/>
      </w:pPr>
      <w:r>
        <w:rPr>
          <w:i/>
          <w:color w:val="1A5C82"/>
          <w:sz w:val="20"/>
        </w:rPr>
        <w:t>Think of it as asking: 'Across the full range of worlds that might exist, how much better off is humanity on average because of this grant?'</w:t>
      </w:r>
    </w:p>
    <w:p>
      <w:pPr>
        <w:spacing w:after="100"/>
      </w:pPr>
      <w:r>
        <w:rPr>
          <w:sz w:val="21"/>
        </w:rPr>
        <w:t>Three grants are currently modelled:</w:t>
      </w:r>
    </w:p>
    <w:p>
      <w:pPr>
        <w:pStyle w:val="ListBullet"/>
        <w:spacing w:after="60"/>
      </w:pPr>
      <w:r>
        <w:rPr>
          <w:b/>
          <w:sz w:val="21"/>
        </w:rPr>
        <w:t>Sentinel Bio</w:t>
      </w:r>
      <w:r>
        <w:rPr>
          <w:sz w:val="21"/>
        </w:rPr>
        <w:t xml:space="preserve"> Sentinel Bio — biosecurity work focused on preventing engineered pandemics.</w:t>
      </w:r>
    </w:p>
    <w:p>
      <w:pPr>
        <w:pStyle w:val="ListBullet"/>
        <w:spacing w:after="60"/>
      </w:pPr>
      <w:r>
        <w:rPr>
          <w:b/>
          <w:sz w:val="21"/>
        </w:rPr>
        <w:t>Longview Nuclear</w:t>
      </w:r>
      <w:r>
        <w:rPr>
          <w:sz w:val="21"/>
        </w:rPr>
        <w:t xml:space="preserve"> Longview Nuclear — policy work to reduce the risk of nuclear war.</w:t>
      </w:r>
    </w:p>
    <w:p>
      <w:pPr>
        <w:pStyle w:val="ListBullet"/>
        <w:spacing w:after="60"/>
      </w:pPr>
      <w:r>
        <w:rPr>
          <w:b/>
          <w:sz w:val="21"/>
        </w:rPr>
        <w:t>Longview AI</w:t>
      </w:r>
      <w:r>
        <w:rPr>
          <w:sz w:val="21"/>
        </w:rPr>
        <w:t xml:space="preserve"> Longview AI — AI safety funding.</w:t>
      </w:r>
    </w:p>
    <w:p>
      <w:pPr>
        <w:pStyle w:val="Heading1"/>
      </w:pPr>
      <w:r>
        <w:t>2.  How risk is modeled: the danger curve</w:t>
      </w:r>
    </w:p>
    <w:p>
      <w:pPr>
        <w:spacing w:after="100"/>
      </w:pPr>
      <w:r>
        <w:rPr>
          <w:sz w:val="21"/>
        </w:rPr>
        <w:t>The model assumes that humanity is currently passing through a particularly dangerous period — a 'time of perils.' Annual risk is not constant; it rises, peaks, and then gradually falls as we either develop better safeguards or survive long enough that the most acute threats pass.</w:t>
      </w:r>
    </w:p>
    <w:p>
      <w:pPr>
        <w:spacing w:after="100"/>
      </w:pPr>
      <w:r>
        <w:rPr>
          <w:sz w:val="21"/>
        </w:rPr>
        <w:t>Technically this is modelled as a bell curve (Gaussian) of annual risk, centred on a peak year, plus a small permanent background risk that persists indefinitely. The model sweeps over three scenarios for when this peak occurs and how broad the danger window is: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Parameter</w:t>
            </w:r>
          </w:p>
        </w:tc>
        <w:tc>
          <w:tcPr>
            <w:tcW w:type="dxa" w:w="3022"/>
            <w:shd w:val="clear" w:color="auto" w:fill="D2DCF0"/>
          </w:tcPr>
          <w:p>
            <w:r>
              <w:rPr>
                <w:b/>
                <w:color w:val="1E3C78"/>
                <w:sz w:val="19"/>
              </w:rPr>
              <w:t>Values considered</w:t>
            </w:r>
          </w:p>
        </w:tc>
        <w:tc>
          <w:tcPr>
            <w:tcW w:type="dxa" w:w="3022"/>
            <w:shd w:val="clear" w:color="auto" w:fill="D2DCF0"/>
          </w:tcPr>
          <w:p>
            <w:r>
              <w:rPr>
                <w:b/>
                <w:color w:val="1E3C78"/>
                <w:sz w:val="19"/>
              </w:rPr>
              <w:t>What it means</w:t>
            </w:r>
          </w:p>
        </w:tc>
      </w:tr>
      <w:tr>
        <w:tc>
          <w:tcPr>
            <w:tcW w:type="dxa" w:w="3022"/>
            <w:shd w:val="clear" w:color="auto" w:fill="F5F7FC"/>
          </w:tcPr>
          <w:p>
            <w:r>
              <w:rPr>
                <w:sz w:val="19"/>
              </w:rPr>
              <w:t>Year of peak danger</w:t>
            </w:r>
          </w:p>
        </w:tc>
        <w:tc>
          <w:tcPr>
            <w:tcW w:type="dxa" w:w="3022"/>
            <w:shd w:val="clear" w:color="auto" w:fill="F5F7FC"/>
          </w:tcPr>
          <w:p>
            <w:r>
              <w:rPr>
                <w:sz w:val="19"/>
              </w:rPr>
              <w:t>5, 15, or 50 years from now</w:t>
            </w:r>
          </w:p>
        </w:tc>
        <w:tc>
          <w:tcPr>
            <w:tcW w:type="dxa" w:w="3022"/>
            <w:shd w:val="clear" w:color="auto" w:fill="F5F7FC"/>
          </w:tcPr>
          <w:p>
            <w:r>
              <w:rPr>
                <w:sz w:val="19"/>
              </w:rPr>
              <w:t>How soon does risk peak?</w:t>
            </w:r>
          </w:p>
        </w:tc>
      </w:tr>
      <w:tr>
        <w:tc>
          <w:tcPr>
            <w:tcW w:type="dxa" w:w="3022"/>
            <w:shd w:val="clear" w:color="auto" w:fill="FFFFFF"/>
          </w:tcPr>
          <w:p>
            <w:r>
              <w:rPr>
                <w:sz w:val="19"/>
              </w:rPr>
              <w:t>Width of the danger window</w:t>
            </w:r>
          </w:p>
        </w:tc>
        <w:tc>
          <w:tcPr>
            <w:tcW w:type="dxa" w:w="3022"/>
            <w:shd w:val="clear" w:color="auto" w:fill="FFFFFF"/>
          </w:tcPr>
          <w:p>
            <w:r>
              <w:rPr>
                <w:sz w:val="19"/>
              </w:rPr>
              <w:t>20, 100, or 200 year half-width</w:t>
            </w:r>
          </w:p>
        </w:tc>
        <w:tc>
          <w:tcPr>
            <w:tcW w:type="dxa" w:w="3022"/>
            <w:shd w:val="clear" w:color="auto" w:fill="FFFFFF"/>
          </w:tcPr>
          <w:p>
            <w:r>
              <w:rPr>
                <w:sz w:val="19"/>
              </w:rPr>
              <w:t>Is the window narrow (acute crisis) or broad (prolonged transition)?</w:t>
            </w:r>
          </w:p>
        </w:tc>
      </w:tr>
      <w:tr>
        <w:tc>
          <w:tcPr>
            <w:tcW w:type="dxa" w:w="3022"/>
            <w:shd w:val="clear" w:color="auto" w:fill="F5F7FC"/>
          </w:tcPr>
          <w:p>
            <w:r>
              <w:rPr>
                <w:sz w:val="19"/>
              </w:rPr>
              <w:t>Permanent background risk</w:t>
            </w:r>
          </w:p>
        </w:tc>
        <w:tc>
          <w:tcPr>
            <w:tcW w:type="dxa" w:w="3022"/>
            <w:shd w:val="clear" w:color="auto" w:fill="F5F7FC"/>
          </w:tcPr>
          <w:p>
            <w:r>
              <w:rPr>
                <w:sz w:val="19"/>
              </w:rPr>
              <w:t>Very low (1 in 10 billion/yr), medium (1 in 10 million/yr), or higher (1 in 1,000/yr)</w:t>
            </w:r>
          </w:p>
        </w:tc>
        <w:tc>
          <w:tcPr>
            <w:tcW w:type="dxa" w:w="3022"/>
            <w:shd w:val="clear" w:color="auto" w:fill="F5F7FC"/>
          </w:tcPr>
          <w:p>
            <w:r>
              <w:rPr>
                <w:sz w:val="19"/>
              </w:rPr>
              <w:t>Even after the transition, some risk persists forever</w:t>
            </w:r>
          </w:p>
        </w:tc>
      </w:tr>
    </w:tbl>
    <w:p/>
    <w:p>
      <w:pPr>
        <w:spacing w:after="100"/>
      </w:pPr>
      <w:r>
        <w:rPr>
          <w:sz w:val="21"/>
        </w:rPr>
        <w:t>The height of the peak is not a separate free assumption — it is calculated automatically so that the total chance of catastrophe over the next 100 years matches our overall belief about how dangerous this century is (see Section 3).</w:t>
      </w:r>
    </w:p>
    <w:p>
      <w:pPr>
        <w:pStyle w:val="Heading1"/>
      </w:pPr>
      <w:r>
        <w:t>3.  How dangerous is this century?</w:t>
      </w:r>
    </w:p>
    <w:p>
      <w:pPr>
        <w:spacing w:after="100"/>
      </w:pPr>
      <w:r>
        <w:rPr>
          <w:sz w:val="21"/>
        </w:rPr>
        <w:t>The single most important assumption in the model is: what is the total probability that some catastrophic or extinction-level event occurs before 2125? We consider three scenarios: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Scenario</w:t>
            </w:r>
          </w:p>
        </w:tc>
        <w:tc>
          <w:tcPr>
            <w:tcW w:type="dxa" w:w="3022"/>
            <w:shd w:val="clear" w:color="auto" w:fill="D2DCF0"/>
          </w:tcPr>
          <w:p>
            <w:r>
              <w:rPr>
                <w:b/>
                <w:color w:val="1E3C78"/>
                <w:sz w:val="19"/>
              </w:rPr>
              <w:t>Chance of catastrophe in 100 years</w:t>
            </w:r>
          </w:p>
        </w:tc>
        <w:tc>
          <w:tcPr>
            <w:tcW w:type="dxa" w:w="3022"/>
            <w:shd w:val="clear" w:color="auto" w:fill="D2DCF0"/>
          </w:tcPr>
          <w:p>
            <w:r>
              <w:rPr>
                <w:b/>
                <w:color w:val="1E3C78"/>
                <w:sz w:val="19"/>
              </w:rPr>
              <w:t>Interpretation</w:t>
            </w:r>
          </w:p>
        </w:tc>
      </w:tr>
      <w:tr>
        <w:tc>
          <w:tcPr>
            <w:tcW w:type="dxa" w:w="3022"/>
            <w:shd w:val="clear" w:color="auto" w:fill="F5F7FC"/>
          </w:tcPr>
          <w:p>
            <w:r>
              <w:rPr>
                <w:sz w:val="19"/>
              </w:rPr>
              <w:t>Low</w:t>
            </w:r>
          </w:p>
        </w:tc>
        <w:tc>
          <w:tcPr>
            <w:tcW w:type="dxa" w:w="3022"/>
            <w:shd w:val="clear" w:color="auto" w:fill="F5F7FC"/>
          </w:tcPr>
          <w:p>
            <w:r>
              <w:rPr>
                <w:sz w:val="19"/>
              </w:rPr>
              <w:t>5.0%</w:t>
            </w:r>
          </w:p>
        </w:tc>
        <w:tc>
          <w:tcPr>
            <w:tcW w:type="dxa" w:w="3022"/>
            <w:shd w:val="clear" w:color="auto" w:fill="F5F7FC"/>
          </w:tcPr>
          <w:p>
            <w:r>
              <w:rPr>
                <w:sz w:val="19"/>
              </w:rPr>
              <w:t>Relatively optimistic — safeguards hold</w:t>
            </w:r>
          </w:p>
        </w:tc>
      </w:tr>
      <w:tr>
        <w:tc>
          <w:tcPr>
            <w:tcW w:type="dxa" w:w="3022"/>
            <w:shd w:val="clear" w:color="auto" w:fill="FFFFFF"/>
          </w:tcPr>
          <w:p>
            <w:r>
              <w:rPr>
                <w:sz w:val="19"/>
              </w:rPr>
              <w:t>Central</w:t>
            </w:r>
          </w:p>
        </w:tc>
        <w:tc>
          <w:tcPr>
            <w:tcW w:type="dxa" w:w="3022"/>
            <w:shd w:val="clear" w:color="auto" w:fill="FFFFFF"/>
          </w:tcPr>
          <w:p>
            <w:r>
              <w:rPr>
                <w:sz w:val="19"/>
              </w:rPr>
              <w:t>10.0%</w:t>
            </w:r>
          </w:p>
        </w:tc>
        <w:tc>
          <w:tcPr>
            <w:tcW w:type="dxa" w:w="3022"/>
            <w:shd w:val="clear" w:color="auto" w:fill="FFFFFF"/>
          </w:tcPr>
          <w:p>
            <w:r>
              <w:rPr>
                <w:sz w:val="19"/>
              </w:rPr>
              <w:t>RP baseline — meaningful but not overwhelming risk</w:t>
            </w:r>
          </w:p>
        </w:tc>
      </w:tr>
      <w:tr>
        <w:tc>
          <w:tcPr>
            <w:tcW w:type="dxa" w:w="3022"/>
            <w:shd w:val="clear" w:color="auto" w:fill="F5F7FC"/>
          </w:tcPr>
          <w:p>
            <w:r>
              <w:rPr>
                <w:sz w:val="19"/>
              </w:rPr>
              <w:t>High</w:t>
            </w:r>
          </w:p>
        </w:tc>
        <w:tc>
          <w:tcPr>
            <w:tcW w:type="dxa" w:w="3022"/>
            <w:shd w:val="clear" w:color="auto" w:fill="F5F7FC"/>
          </w:tcPr>
          <w:p>
            <w:r>
              <w:rPr>
                <w:sz w:val="19"/>
              </w:rPr>
              <w:t>65.0%</w:t>
            </w:r>
          </w:p>
        </w:tc>
        <w:tc>
          <w:tcPr>
            <w:tcW w:type="dxa" w:w="3022"/>
            <w:shd w:val="clear" w:color="auto" w:fill="F5F7FC"/>
          </w:tcPr>
          <w:p>
            <w:r>
              <w:rPr>
                <w:sz w:val="19"/>
              </w:rPr>
              <w:t>Pessimistic — we are in serious danger</w:t>
            </w:r>
          </w:p>
        </w:tc>
      </w:tr>
    </w:tbl>
    <w:p/>
    <w:p>
      <w:pPr>
        <w:spacing w:before="100" w:after="160"/>
        <w:ind w:left="283" w:right="283"/>
        <w:shd w:val="clear" w:color="auto" w:fill="FFFADC"/>
      </w:pPr>
      <w:r>
        <w:rPr>
          <w:i/>
          <w:color w:val="503C00"/>
          <w:sz w:val="20"/>
        </w:rPr>
        <w:t>Note: These figures cover all catastrophic risks combined — AI, bio, nuclear, and others. The model does not try to add them up separately; instead it treats total risk as a single uncertain quantity and then asks what fraction of it each fund addresses.</w:t>
      </w:r>
    </w:p>
    <w:p>
      <w:pPr>
        <w:pStyle w:val="Heading1"/>
      </w:pPr>
      <w:r>
        <w:t>4.  How a grant reduces risk</w:t>
      </w:r>
    </w:p>
    <w:p>
      <w:pPr>
        <w:spacing w:after="100"/>
      </w:pPr>
      <w:r>
        <w:rPr>
          <w:sz w:val="21"/>
        </w:rPr>
        <w:t>Each fund's grant is assumed to shave a small fraction off the danger curve during a limited window of time (its 'persistence' — how long the effects last). The key question is: how large a fraction?</w:t>
      </w:r>
    </w:p>
    <w:p>
      <w:pPr>
        <w:spacing w:after="100"/>
      </w:pPr>
      <w:r>
        <w:rPr>
          <w:sz w:val="21"/>
        </w:rPr>
        <w:t>Because each fund works on a specific cause (bio, nuclear, or AI), it can only affect the slice of total risk that belongs to that cause. We call this the cause fraction. Based on RP's cross-cause risk model: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Fund</w:t>
            </w:r>
          </w:p>
        </w:tc>
        <w:tc>
          <w:tcPr>
            <w:tcW w:type="dxa" w:w="3022"/>
            <w:shd w:val="clear" w:color="auto" w:fill="D2DCF0"/>
          </w:tcPr>
          <w:p>
            <w:r>
              <w:rPr>
                <w:b/>
                <w:color w:val="1E3C78"/>
                <w:sz w:val="19"/>
              </w:rPr>
              <w:t>Cause fraction of total x-risk</w:t>
            </w:r>
          </w:p>
        </w:tc>
        <w:tc>
          <w:tcPr>
            <w:tcW w:type="dxa" w:w="3022"/>
            <w:shd w:val="clear" w:color="auto" w:fill="D2DCF0"/>
          </w:tcPr>
          <w:p>
            <w:r>
              <w:rPr>
                <w:b/>
                <w:color w:val="1E3C78"/>
                <w:sz w:val="19"/>
              </w:rPr>
              <w:t>Intuition</w:t>
            </w:r>
          </w:p>
        </w:tc>
      </w:tr>
      <w:tr>
        <w:tc>
          <w:tcPr>
            <w:tcW w:type="dxa" w:w="3022"/>
            <w:shd w:val="clear" w:color="auto" w:fill="F5F7FC"/>
          </w:tcPr>
          <w:p>
            <w:r>
              <w:rPr>
                <w:sz w:val="19"/>
              </w:rPr>
              <w:t>Sentinel Bio</w:t>
            </w:r>
          </w:p>
        </w:tc>
        <w:tc>
          <w:tcPr>
            <w:tcW w:type="dxa" w:w="3022"/>
            <w:shd w:val="clear" w:color="auto" w:fill="F5F7FC"/>
          </w:tcPr>
          <w:p>
            <w:r>
              <w:rPr>
                <w:sz w:val="19"/>
              </w:rPr>
              <w:t>0.6%</w:t>
            </w:r>
          </w:p>
        </w:tc>
        <w:tc>
          <w:tcPr>
            <w:tcW w:type="dxa" w:w="3022"/>
            <w:shd w:val="clear" w:color="auto" w:fill="F5F7FC"/>
          </w:tcPr>
          <w:p>
            <w:r>
              <w:rPr>
                <w:sz w:val="19"/>
              </w:rPr>
              <w:t>Bio risk is a small share of total catastrophic risk in our model</w:t>
            </w:r>
          </w:p>
        </w:tc>
      </w:tr>
      <w:tr>
        <w:tc>
          <w:tcPr>
            <w:tcW w:type="dxa" w:w="3022"/>
            <w:shd w:val="clear" w:color="auto" w:fill="FFFFFF"/>
          </w:tcPr>
          <w:p>
            <w:r>
              <w:rPr>
                <w:sz w:val="19"/>
              </w:rPr>
              <w:t>Longview Nuclear</w:t>
            </w:r>
          </w:p>
        </w:tc>
        <w:tc>
          <w:tcPr>
            <w:tcW w:type="dxa" w:w="3022"/>
            <w:shd w:val="clear" w:color="auto" w:fill="FFFFFF"/>
          </w:tcPr>
          <w:p>
            <w:r>
              <w:rPr>
                <w:sz w:val="19"/>
              </w:rPr>
              <w:t>3.5%</w:t>
            </w:r>
          </w:p>
        </w:tc>
        <w:tc>
          <w:tcPr>
            <w:tcW w:type="dxa" w:w="3022"/>
            <w:shd w:val="clear" w:color="auto" w:fill="FFFFFF"/>
          </w:tcPr>
          <w:p>
            <w:r>
              <w:rPr>
                <w:sz w:val="19"/>
              </w:rPr>
              <w:t>Nuclear risk is a similarly small share</w:t>
            </w:r>
          </w:p>
        </w:tc>
      </w:tr>
      <w:tr>
        <w:tc>
          <w:tcPr>
            <w:tcW w:type="dxa" w:w="3022"/>
            <w:shd w:val="clear" w:color="auto" w:fill="F5F7FC"/>
          </w:tcPr>
          <w:p>
            <w:r>
              <w:rPr>
                <w:sz w:val="19"/>
              </w:rPr>
              <w:t>Longview AI</w:t>
            </w:r>
          </w:p>
        </w:tc>
        <w:tc>
          <w:tcPr>
            <w:tcW w:type="dxa" w:w="3022"/>
            <w:shd w:val="clear" w:color="auto" w:fill="F5F7FC"/>
          </w:tcPr>
          <w:p>
            <w:r>
              <w:rPr>
                <w:sz w:val="19"/>
              </w:rPr>
              <w:t>91.9%</w:t>
            </w:r>
          </w:p>
        </w:tc>
        <w:tc>
          <w:tcPr>
            <w:tcW w:type="dxa" w:w="3022"/>
            <w:shd w:val="clear" w:color="auto" w:fill="F5F7FC"/>
          </w:tcPr>
          <w:p>
            <w:r>
              <w:rPr>
                <w:sz w:val="19"/>
              </w:rPr>
              <w:t>AI (direct + indirect pathways) dominates our risk model</w:t>
            </w:r>
          </w:p>
        </w:tc>
      </w:tr>
    </w:tbl>
    <w:p/>
    <w:p>
      <w:pPr>
        <w:spacing w:after="100"/>
      </w:pPr>
      <w:r>
        <w:rPr>
          <w:sz w:val="21"/>
        </w:rPr>
        <w:t>The effectiveness of each grant is then expressed as a relative risk reduction per $10 million spent — how many percentage points of the cause-specific danger curve does $10M remove? This is swept across three scenarios (conservative, central, optimistic) to reflect genuine uncertainty about how much each fund achieves: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Fund</w:t>
            </w:r>
          </w:p>
        </w:tc>
        <w:tc>
          <w:tcPr>
            <w:tcW w:type="dxa" w:w="2266"/>
            <w:shd w:val="clear" w:color="auto" w:fill="D2DCF0"/>
          </w:tcPr>
          <w:p>
            <w:r>
              <w:rPr>
                <w:b/>
                <w:color w:val="1E3C78"/>
                <w:sz w:val="19"/>
              </w:rPr>
              <w:t>Budget</w:t>
            </w:r>
          </w:p>
        </w:tc>
        <w:tc>
          <w:tcPr>
            <w:tcW w:type="dxa" w:w="2266"/>
            <w:shd w:val="clear" w:color="auto" w:fill="D2DCF0"/>
          </w:tcPr>
          <w:p>
            <w:r>
              <w:rPr>
                <w:b/>
                <w:color w:val="1E3C78"/>
                <w:sz w:val="19"/>
              </w:rPr>
              <w:t>Rel. risk reduction per $10M (conservative → optimistic)</w:t>
            </w:r>
          </w:p>
        </w:tc>
        <w:tc>
          <w:tcPr>
            <w:tcW w:type="dxa" w:w="2266"/>
            <w:shd w:val="clear" w:color="auto" w:fill="D2DCF0"/>
          </w:tcPr>
          <w:p>
            <w:r>
              <w:rPr>
                <w:b/>
                <w:color w:val="1E3C78"/>
                <w:sz w:val="19"/>
              </w:rPr>
              <w:t>Effect lasts</w:t>
            </w:r>
          </w:p>
        </w:tc>
      </w:tr>
      <w:tr>
        <w:tc>
          <w:tcPr>
            <w:tcW w:type="dxa" w:w="2266"/>
            <w:shd w:val="clear" w:color="auto" w:fill="F5F7FC"/>
          </w:tcPr>
          <w:p>
            <w:r>
              <w:rPr>
                <w:sz w:val="19"/>
              </w:rPr>
              <w:t>Sentinel Bio</w:t>
            </w:r>
          </w:p>
        </w:tc>
        <w:tc>
          <w:tcPr>
            <w:tcW w:type="dxa" w:w="2266"/>
            <w:shd w:val="clear" w:color="auto" w:fill="F5F7FC"/>
          </w:tcPr>
          <w:p>
            <w:r>
              <w:rPr>
                <w:sz w:val="19"/>
              </w:rPr>
              <w:t>$21.6M</w:t>
            </w:r>
          </w:p>
        </w:tc>
        <w:tc>
          <w:tcPr>
            <w:tcW w:type="dxa" w:w="2266"/>
            <w:shd w:val="clear" w:color="auto" w:fill="F5F7FC"/>
          </w:tcPr>
          <w:p>
            <w:r>
              <w:rPr>
                <w:sz w:val="19"/>
              </w:rPr>
              <w:t>0.0040% → 0.200%</w:t>
            </w:r>
          </w:p>
        </w:tc>
        <w:tc>
          <w:tcPr>
            <w:tcW w:type="dxa" w:w="2266"/>
            <w:shd w:val="clear" w:color="auto" w:fill="F5F7FC"/>
          </w:tcPr>
          <w:p>
            <w:r>
              <w:rPr>
                <w:sz w:val="19"/>
              </w:rPr>
              <w:t>15 years</w:t>
            </w:r>
          </w:p>
        </w:tc>
      </w:tr>
      <w:tr>
        <w:tc>
          <w:tcPr>
            <w:tcW w:type="dxa" w:w="2266"/>
            <w:shd w:val="clear" w:color="auto" w:fill="FFFFFF"/>
          </w:tcPr>
          <w:p>
            <w:r>
              <w:rPr>
                <w:sz w:val="19"/>
              </w:rPr>
              <w:t>Longview Nuclear</w:t>
            </w:r>
          </w:p>
        </w:tc>
        <w:tc>
          <w:tcPr>
            <w:tcW w:type="dxa" w:w="2266"/>
            <w:shd w:val="clear" w:color="auto" w:fill="FFFFFF"/>
          </w:tcPr>
          <w:p>
            <w:r>
              <w:rPr>
                <w:sz w:val="19"/>
              </w:rPr>
              <w:t>$17.1M</w:t>
            </w:r>
          </w:p>
        </w:tc>
        <w:tc>
          <w:tcPr>
            <w:tcW w:type="dxa" w:w="2266"/>
            <w:shd w:val="clear" w:color="auto" w:fill="FFFFFF"/>
          </w:tcPr>
          <w:p>
            <w:r>
              <w:rPr>
                <w:sz w:val="19"/>
              </w:rPr>
              <w:t>0.0040% → 0.200%</w:t>
            </w:r>
          </w:p>
        </w:tc>
        <w:tc>
          <w:tcPr>
            <w:tcW w:type="dxa" w:w="2266"/>
            <w:shd w:val="clear" w:color="auto" w:fill="FFFFFF"/>
          </w:tcPr>
          <w:p>
            <w:r>
              <w:rPr>
                <w:sz w:val="19"/>
              </w:rPr>
              <w:t>21 years</w:t>
            </w:r>
          </w:p>
        </w:tc>
      </w:tr>
      <w:tr>
        <w:tc>
          <w:tcPr>
            <w:tcW w:type="dxa" w:w="2266"/>
            <w:shd w:val="clear" w:color="auto" w:fill="F5F7FC"/>
          </w:tcPr>
          <w:p>
            <w:r>
              <w:rPr>
                <w:sz w:val="19"/>
              </w:rPr>
              <w:t>Longview AI</w:t>
            </w:r>
          </w:p>
        </w:tc>
        <w:tc>
          <w:tcPr>
            <w:tcW w:type="dxa" w:w="2266"/>
            <w:shd w:val="clear" w:color="auto" w:fill="F5F7FC"/>
          </w:tcPr>
          <w:p>
            <w:r>
              <w:rPr>
                <w:sz w:val="19"/>
              </w:rPr>
              <w:t>$210M</w:t>
            </w:r>
          </w:p>
        </w:tc>
        <w:tc>
          <w:tcPr>
            <w:tcW w:type="dxa" w:w="2266"/>
            <w:shd w:val="clear" w:color="auto" w:fill="F5F7FC"/>
          </w:tcPr>
          <w:p>
            <w:r>
              <w:rPr>
                <w:sz w:val="19"/>
              </w:rPr>
              <w:t>0.0040% → 0.200%</w:t>
            </w:r>
          </w:p>
        </w:tc>
        <w:tc>
          <w:tcPr>
            <w:tcW w:type="dxa" w:w="2266"/>
            <w:shd w:val="clear" w:color="auto" w:fill="F5F7FC"/>
          </w:tcPr>
          <w:p>
            <w:r>
              <w:rPr>
                <w:sz w:val="19"/>
              </w:rPr>
              <w:t>12 years</w:t>
            </w:r>
          </w:p>
        </w:tc>
      </w:tr>
    </w:tbl>
    <w:p/>
    <w:p>
      <w:pPr>
        <w:spacing w:before="100" w:after="160"/>
        <w:ind w:left="283" w:right="283"/>
        <w:shd w:val="clear" w:color="auto" w:fill="FFFADC"/>
      </w:pPr>
      <w:r>
        <w:rPr>
          <w:i/>
          <w:color w:val="503C00"/>
          <w:sz w:val="20"/>
        </w:rPr>
        <w:t>Note: The central scenario uses 0.02% per $10M for all three funds — matching the Longview Nuclear survey response, discounted 10x from the raw estimate to be conservative. The conservative is 50x below the raw estimate; the optimistic uses the raw estimate directly.</w:t>
      </w:r>
    </w:p>
    <w:p>
      <w:pPr>
        <w:pStyle w:val="Heading1"/>
      </w:pPr>
      <w:r>
        <w:t>5.  Why the long run dominates the calculation</w:t>
      </w:r>
    </w:p>
    <w:p>
      <w:pPr>
        <w:spacing w:after="100"/>
      </w:pPr>
      <w:r>
        <w:rPr>
          <w:sz w:val="21"/>
        </w:rPr>
        <w:t>Even a tiny reduction in the chance of extinction this century is enormously valuable if humanity has a long and flourishing future ahead. The model captures this by explicitly valuing all future years — from now until roughly 10^14 years from now (the end of the stelliferous era, when star formation ceases).</w:t>
      </w:r>
    </w:p>
    <w:p>
      <w:pPr>
        <w:spacing w:after="100"/>
      </w:pPr>
      <w:r>
        <w:rPr>
          <w:sz w:val="21"/>
        </w:rPr>
        <w:t>Future world value is modelled in two phases:</w:t>
      </w:r>
    </w:p>
    <w:p>
      <w:pPr>
        <w:pStyle w:val="ListBullet"/>
        <w:spacing w:after="60"/>
      </w:pPr>
      <w:r>
        <w:rPr>
          <w:b/>
          <w:sz w:val="21"/>
        </w:rPr>
        <w:t>Near-term (thousands of years).</w:t>
      </w:r>
      <w:r>
        <w:rPr>
          <w:sz w:val="21"/>
        </w:rPr>
        <w:t xml:space="preserve"> Earth-based growth: world value grows logistically, limited by Earth's carrying capacity. The model is uncertain about how large that carrying capacity ultimately is (1.5× to 100× current value).</w:t>
      </w:r>
    </w:p>
    <w:p>
      <w:pPr>
        <w:pStyle w:val="ListBullet"/>
        <w:spacing w:after="60"/>
      </w:pPr>
      <w:r>
        <w:rPr>
          <w:b/>
          <w:sz w:val="21"/>
        </w:rPr>
        <w:t>Very long-term (stellar expansion).</w:t>
      </w:r>
      <w:r>
        <w:rPr>
          <w:sz w:val="21"/>
        </w:rPr>
        <w:t xml:space="preserve"> If humanity eventually spreads beyond Earth, value could grow cubically with the expanding settlement frontier. The model assigns a 10% probability to this occurring, with the most likely start date several hundred years from now. When it does occur, the long-term value dwarfs the near-term figure by many orders of magnitude.</w:t>
      </w:r>
    </w:p>
    <w:p>
      <w:pPr>
        <w:spacing w:before="100" w:after="160"/>
        <w:ind w:left="283" w:right="283"/>
        <w:shd w:val="clear" w:color="auto" w:fill="EAF4FB"/>
      </w:pPr>
      <w:r>
        <w:rPr>
          <w:i/>
          <w:color w:val="1A5C82"/>
          <w:sz w:val="20"/>
        </w:rPr>
        <w:t>Because stellar expansion is so valuable but also quite uncertain (10% probability), results vary enormously across scenarios. The mean expected value is therefore dominated by the 10% of scenarios in which humanity eventually reaches the stars.</w:t>
      </w:r>
    </w:p>
    <w:p>
      <w:pPr>
        <w:spacing w:after="100"/>
      </w:pPr>
      <w:r>
        <w:rPr>
          <w:sz w:val="21"/>
        </w:rPr>
        <w:t>The model reports results both as a single mean ('risk-neutral') and under several risk-averse frameworks that discount the most extreme tail outcomes, giving a fuller picture of the range of conclusions.</w:t>
      </w:r>
    </w:p>
    <w:p>
      <w:pPr>
        <w:pStyle w:val="Heading1"/>
      </w:pPr>
      <w:r>
        <w:t>6.  Adjustments for grant-level uncertainty</w:t>
      </w:r>
    </w:p>
    <w:p>
      <w:pPr>
        <w:spacing w:after="100"/>
      </w:pPr>
      <w:r>
        <w:rPr>
          <w:sz w:val="21"/>
        </w:rPr>
        <w:t>Even if the model's world assumptions are correct, we are uncertain about several things specific to each grant:</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D2DCF0"/>
          </w:tcPr>
          <w:p>
            <w:r>
              <w:rPr>
                <w:b/>
                <w:color w:val="1E3C78"/>
                <w:sz w:val="19"/>
              </w:rPr>
              <w:t>Adjustment</w:t>
            </w:r>
          </w:p>
        </w:tc>
        <w:tc>
          <w:tcPr>
            <w:tcW w:type="dxa" w:w="1813"/>
            <w:shd w:val="clear" w:color="auto" w:fill="D2DCF0"/>
          </w:tcPr>
          <w:p>
            <w:r>
              <w:rPr>
                <w:b/>
                <w:color w:val="1E3C78"/>
                <w:sz w:val="19"/>
              </w:rPr>
              <w:t>Sentinel Bio</w:t>
            </w:r>
          </w:p>
        </w:tc>
        <w:tc>
          <w:tcPr>
            <w:tcW w:type="dxa" w:w="1813"/>
            <w:shd w:val="clear" w:color="auto" w:fill="D2DCF0"/>
          </w:tcPr>
          <w:p>
            <w:r>
              <w:rPr>
                <w:b/>
                <w:color w:val="1E3C78"/>
                <w:sz w:val="19"/>
              </w:rPr>
              <w:t>Longview Nuclear</w:t>
            </w:r>
          </w:p>
        </w:tc>
        <w:tc>
          <w:tcPr>
            <w:tcW w:type="dxa" w:w="1813"/>
            <w:shd w:val="clear" w:color="auto" w:fill="D2DCF0"/>
          </w:tcPr>
          <w:p>
            <w:r>
              <w:rPr>
                <w:b/>
                <w:color w:val="1E3C78"/>
                <w:sz w:val="19"/>
              </w:rPr>
              <w:t>Longview AI</w:t>
            </w:r>
          </w:p>
        </w:tc>
        <w:tc>
          <w:tcPr>
            <w:tcW w:type="dxa" w:w="1813"/>
            <w:shd w:val="clear" w:color="auto" w:fill="D2DCF0"/>
          </w:tcPr>
          <w:p>
            <w:r>
              <w:rPr>
                <w:b/>
                <w:color w:val="1E3C78"/>
                <w:sz w:val="19"/>
              </w:rPr>
              <w:t>What it means</w:t>
            </w:r>
          </w:p>
        </w:tc>
      </w:tr>
      <w:tr>
        <w:tc>
          <w:tcPr>
            <w:tcW w:type="dxa" w:w="1813"/>
            <w:shd w:val="clear" w:color="auto" w:fill="F5F7FC"/>
          </w:tcPr>
          <w:p>
            <w:r>
              <w:rPr>
                <w:sz w:val="19"/>
              </w:rPr>
              <w:t>Counterfactual factor</w:t>
            </w:r>
          </w:p>
        </w:tc>
        <w:tc>
          <w:tcPr>
            <w:tcW w:type="dxa" w:w="1813"/>
            <w:shd w:val="clear" w:color="auto" w:fill="F5F7FC"/>
          </w:tcPr>
          <w:p>
            <w:r>
              <w:rPr>
                <w:sz w:val="19"/>
              </w:rPr>
              <w:t>87.5%</w:t>
            </w:r>
          </w:p>
        </w:tc>
        <w:tc>
          <w:tcPr>
            <w:tcW w:type="dxa" w:w="1813"/>
            <w:shd w:val="clear" w:color="auto" w:fill="F5F7FC"/>
          </w:tcPr>
          <w:p>
            <w:r>
              <w:rPr>
                <w:sz w:val="19"/>
              </w:rPr>
              <w:t>85.0%</w:t>
            </w:r>
          </w:p>
        </w:tc>
        <w:tc>
          <w:tcPr>
            <w:tcW w:type="dxa" w:w="1813"/>
            <w:shd w:val="clear" w:color="auto" w:fill="F5F7FC"/>
          </w:tcPr>
          <w:p>
            <w:r>
              <w:rPr>
                <w:sz w:val="19"/>
              </w:rPr>
              <w:t>72.5%</w:t>
            </w:r>
          </w:p>
        </w:tc>
        <w:tc>
          <w:tcPr>
            <w:tcW w:type="dxa" w:w="1813"/>
            <w:shd w:val="clear" w:color="auto" w:fill="F5F7FC"/>
          </w:tcPr>
          <w:p>
            <w:r>
              <w:rPr>
                <w:sz w:val="19"/>
              </w:rPr>
              <w:t>What fraction of the impact would not have happened without our grant? (e.g. 87.5% means we're confident we are genuinely additional)</w:t>
            </w:r>
          </w:p>
        </w:tc>
      </w:tr>
      <w:tr>
        <w:tc>
          <w:tcPr>
            <w:tcW w:type="dxa" w:w="1813"/>
            <w:shd w:val="clear" w:color="auto" w:fill="FFFFFF"/>
          </w:tcPr>
          <w:p>
            <w:r>
              <w:rPr>
                <w:sz w:val="19"/>
              </w:rPr>
              <w:t>Chance of no effect</w:t>
            </w:r>
          </w:p>
        </w:tc>
        <w:tc>
          <w:tcPr>
            <w:tcW w:type="dxa" w:w="1813"/>
            <w:shd w:val="clear" w:color="auto" w:fill="FFFFFF"/>
          </w:tcPr>
          <w:p>
            <w:r>
              <w:rPr>
                <w:sz w:val="19"/>
              </w:rPr>
              <w:t>50%</w:t>
            </w:r>
          </w:p>
        </w:tc>
        <w:tc>
          <w:tcPr>
            <w:tcW w:type="dxa" w:w="1813"/>
            <w:shd w:val="clear" w:color="auto" w:fill="FFFFFF"/>
          </w:tcPr>
          <w:p>
            <w:r>
              <w:rPr>
                <w:sz w:val="19"/>
              </w:rPr>
              <w:t>50%</w:t>
            </w:r>
          </w:p>
        </w:tc>
        <w:tc>
          <w:tcPr>
            <w:tcW w:type="dxa" w:w="1813"/>
            <w:shd w:val="clear" w:color="auto" w:fill="FFFFFF"/>
          </w:tcPr>
          <w:p>
            <w:r>
              <w:rPr>
                <w:sz w:val="19"/>
              </w:rPr>
              <w:t>50%</w:t>
            </w:r>
          </w:p>
        </w:tc>
        <w:tc>
          <w:tcPr>
            <w:tcW w:type="dxa" w:w="1813"/>
            <w:shd w:val="clear" w:color="auto" w:fill="FFFFFF"/>
          </w:tcPr>
          <w:p>
            <w:r>
              <w:rPr>
                <w:sz w:val="19"/>
              </w:rPr>
              <w:t>Probability that the intervention simply doesn't work</w:t>
            </w:r>
          </w:p>
        </w:tc>
      </w:tr>
      <w:tr>
        <w:tc>
          <w:tcPr>
            <w:tcW w:type="dxa" w:w="1813"/>
            <w:shd w:val="clear" w:color="auto" w:fill="F5F7FC"/>
          </w:tcPr>
          <w:p>
            <w:r>
              <w:rPr>
                <w:sz w:val="19"/>
              </w:rPr>
              <w:t>Chance of harm</w:t>
            </w:r>
          </w:p>
        </w:tc>
        <w:tc>
          <w:tcPr>
            <w:tcW w:type="dxa" w:w="1813"/>
            <w:shd w:val="clear" w:color="auto" w:fill="F5F7FC"/>
          </w:tcPr>
          <w:p>
            <w:r>
              <w:rPr>
                <w:sz w:val="19"/>
              </w:rPr>
              <w:t>5%</w:t>
            </w:r>
          </w:p>
        </w:tc>
        <w:tc>
          <w:tcPr>
            <w:tcW w:type="dxa" w:w="1813"/>
            <w:shd w:val="clear" w:color="auto" w:fill="F5F7FC"/>
          </w:tcPr>
          <w:p>
            <w:r>
              <w:rPr>
                <w:sz w:val="19"/>
              </w:rPr>
              <w:t>5%</w:t>
            </w:r>
          </w:p>
        </w:tc>
        <w:tc>
          <w:tcPr>
            <w:tcW w:type="dxa" w:w="1813"/>
            <w:shd w:val="clear" w:color="auto" w:fill="F5F7FC"/>
          </w:tcPr>
          <w:p>
            <w:r>
              <w:rPr>
                <w:sz w:val="19"/>
              </w:rPr>
              <w:t>15%</w:t>
            </w:r>
          </w:p>
        </w:tc>
        <w:tc>
          <w:tcPr>
            <w:tcW w:type="dxa" w:w="1813"/>
            <w:shd w:val="clear" w:color="auto" w:fill="F5F7FC"/>
          </w:tcPr>
          <w:p>
            <w:r>
              <w:rPr>
                <w:sz w:val="19"/>
              </w:rPr>
              <w:t>Probability that the intervention makes things worse (e.g. backfire or rebound effects)</w:t>
            </w:r>
          </w:p>
        </w:tc>
      </w:tr>
    </w:tbl>
    <w:p/>
    <w:p>
      <w:pPr>
        <w:spacing w:after="100"/>
      </w:pPr>
      <w:r>
        <w:rPr>
          <w:sz w:val="21"/>
        </w:rPr>
        <w:t>These are applied as a weighted average: the model's gross intervention value is multiplied by the counterfactual factor, and then probability-weighted combinations of benefit, zero, and harm scenarios are averaged together.</w:t>
      </w:r>
    </w:p>
    <w:p>
      <w:pPr>
        <w:spacing w:before="100" w:after="160"/>
        <w:ind w:left="283" w:right="283"/>
        <w:shd w:val="clear" w:color="auto" w:fill="FFFADC"/>
      </w:pPr>
      <w:r>
        <w:rPr>
          <w:i/>
          <w:color w:val="503C00"/>
          <w:sz w:val="20"/>
        </w:rPr>
        <w:t>Note: Longview AI carries a higher probability of harm (15% vs 5%) reflecting greater uncertainty about whether AI safety interventions might inadvertently accelerate AI development or otherwise backfire.</w:t>
      </w:r>
    </w:p>
    <w:p>
      <w:pPr>
        <w:pStyle w:val="Heading1"/>
      </w:pPr>
      <w:r>
        <w:t>7.  Catastrophes short of extinction (Sentinel Bio only)</w:t>
      </w:r>
    </w:p>
    <w:p>
      <w:pPr>
        <w:spacing w:after="100"/>
      </w:pPr>
      <w:r>
        <w:rPr>
          <w:sz w:val="21"/>
        </w:rPr>
        <w:t>Sentinel Bio's work could also reduce the risk of large-scale pandemics that kill millions or hundreds of millions of people without ending civilisation. The model captures two such tiers separately from the extinction pathway:</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Event tier</w:t>
            </w:r>
          </w:p>
        </w:tc>
        <w:tc>
          <w:tcPr>
            <w:tcW w:type="dxa" w:w="2266"/>
            <w:shd w:val="clear" w:color="auto" w:fill="D2DCF0"/>
          </w:tcPr>
          <w:p>
            <w:r>
              <w:rPr>
                <w:b/>
                <w:color w:val="1E3C78"/>
                <w:sz w:val="19"/>
              </w:rPr>
              <w:t>Chance per decade</w:t>
            </w:r>
          </w:p>
        </w:tc>
        <w:tc>
          <w:tcPr>
            <w:tcW w:type="dxa" w:w="2266"/>
            <w:shd w:val="clear" w:color="auto" w:fill="D2DCF0"/>
          </w:tcPr>
          <w:p>
            <w:r>
              <w:rPr>
                <w:b/>
                <w:color w:val="1E3C78"/>
                <w:sz w:val="19"/>
              </w:rPr>
              <w:t>Expected deaths if it occurs</w:t>
            </w:r>
          </w:p>
        </w:tc>
        <w:tc>
          <w:tcPr>
            <w:tcW w:type="dxa" w:w="2266"/>
            <w:shd w:val="clear" w:color="auto" w:fill="D2DCF0"/>
          </w:tcPr>
          <w:p>
            <w:r>
              <w:rPr>
                <w:b/>
                <w:color w:val="1E3C78"/>
                <w:sz w:val="19"/>
              </w:rPr>
              <w:t>Discount applied</w:t>
            </w:r>
          </w:p>
        </w:tc>
      </w:tr>
      <w:tr>
        <w:tc>
          <w:tcPr>
            <w:tcW w:type="dxa" w:w="2266"/>
            <w:shd w:val="clear" w:color="auto" w:fill="F5F7FC"/>
          </w:tcPr>
          <w:p>
            <w:r>
              <w:rPr>
                <w:sz w:val="19"/>
              </w:rPr>
              <w:t>100M-1B deaths</w:t>
            </w:r>
          </w:p>
        </w:tc>
        <w:tc>
          <w:tcPr>
            <w:tcW w:type="dxa" w:w="2266"/>
            <w:shd w:val="clear" w:color="auto" w:fill="F5F7FC"/>
          </w:tcPr>
          <w:p>
            <w:r>
              <w:rPr>
                <w:sz w:val="19"/>
              </w:rPr>
              <w:t>2%</w:t>
            </w:r>
          </w:p>
        </w:tc>
        <w:tc>
          <w:tcPr>
            <w:tcW w:type="dxa" w:w="2266"/>
            <w:shd w:val="clear" w:color="auto" w:fill="F5F7FC"/>
          </w:tcPr>
          <w:p>
            <w:r>
              <w:rPr>
                <w:sz w:val="19"/>
              </w:rPr>
              <w:t>316M</w:t>
            </w:r>
          </w:p>
        </w:tc>
        <w:tc>
          <w:tcPr>
            <w:tcW w:type="dxa" w:w="2266"/>
            <w:shd w:val="clear" w:color="auto" w:fill="F5F7FC"/>
          </w:tcPr>
          <w:p>
            <w:r>
              <w:rPr>
                <w:sz w:val="19"/>
              </w:rPr>
              <w:t>None (Sentinel focuses on engineered bio, which drives this tier)</w:t>
            </w:r>
          </w:p>
        </w:tc>
      </w:tr>
      <w:tr>
        <w:tc>
          <w:tcPr>
            <w:tcW w:type="dxa" w:w="2266"/>
            <w:shd w:val="clear" w:color="auto" w:fill="FFFFFF"/>
          </w:tcPr>
          <w:p>
            <w:r>
              <w:rPr>
                <w:sz w:val="19"/>
              </w:rPr>
              <w:t>10M-100M deaths</w:t>
            </w:r>
          </w:p>
        </w:tc>
        <w:tc>
          <w:tcPr>
            <w:tcW w:type="dxa" w:w="2266"/>
            <w:shd w:val="clear" w:color="auto" w:fill="FFFFFF"/>
          </w:tcPr>
          <w:p>
            <w:r>
              <w:rPr>
                <w:sz w:val="19"/>
              </w:rPr>
              <w:t>30%</w:t>
            </w:r>
          </w:p>
        </w:tc>
        <w:tc>
          <w:tcPr>
            <w:tcW w:type="dxa" w:w="2266"/>
            <w:shd w:val="clear" w:color="auto" w:fill="FFFFFF"/>
          </w:tcPr>
          <w:p>
            <w:r>
              <w:rPr>
                <w:sz w:val="19"/>
              </w:rPr>
              <w:t>32M</w:t>
            </w:r>
          </w:p>
        </w:tc>
        <w:tc>
          <w:tcPr>
            <w:tcW w:type="dxa" w:w="2266"/>
            <w:shd w:val="clear" w:color="auto" w:fill="FFFFFF"/>
          </w:tcPr>
          <w:p>
            <w:r>
              <w:rPr>
                <w:sz w:val="19"/>
              </w:rPr>
              <w:t>70% discount (Sentinel mainly targets engineered bio, not natural outbreaks)</w:t>
            </w:r>
          </w:p>
        </w:tc>
      </w:tr>
    </w:tbl>
    <w:p/>
    <w:p>
      <w:pPr>
        <w:spacing w:after="100"/>
      </w:pPr>
      <w:r>
        <w:rPr>
          <w:sz w:val="21"/>
        </w:rPr>
        <w:t>These tiers use a simpler calculation: probability of the event × expected deaths × fraction of risk the grant removes × how long the effect lasts. They are added to Sentinel Bio's extinction-pathway value to give a combined total.</w:t>
      </w:r>
    </w:p>
    <w:p>
      <w:pPr>
        <w:pStyle w:val="Heading1"/>
      </w:pPr>
      <w:r>
        <w:t>8.  Running thousands of scenarios</w:t>
      </w:r>
    </w:p>
    <w:p>
      <w:pPr>
        <w:spacing w:after="100"/>
      </w:pPr>
      <w:r>
        <w:rPr>
          <w:sz w:val="21"/>
        </w:rPr>
        <w:t>None of the uncertain quantities described above takes a single fixed value in the model. Instead, for each simulation run the model draws a random combination of:</w:t>
      </w:r>
    </w:p>
    <w:p>
      <w:pPr>
        <w:pStyle w:val="ListBullet"/>
        <w:spacing w:after="60"/>
      </w:pPr>
      <w:r>
        <w:rPr>
          <w:sz w:val="21"/>
        </w:rPr>
        <w:t>How dangerous is this century? (5%, 10%, or 65% total x-risk)</w:t>
      </w:r>
    </w:p>
    <w:p>
      <w:pPr>
        <w:pStyle w:val="ListBullet"/>
        <w:spacing w:after="60"/>
      </w:pPr>
      <w:r>
        <w:rPr>
          <w:sz w:val="21"/>
        </w:rPr>
        <w:t>When does risk peak, and how wide is the window?</w:t>
      </w:r>
    </w:p>
    <w:p>
      <w:pPr>
        <w:pStyle w:val="ListBullet"/>
        <w:spacing w:after="60"/>
      </w:pPr>
      <w:r>
        <w:rPr>
          <w:sz w:val="21"/>
        </w:rPr>
        <w:t>How large is the permanent background risk?</w:t>
      </w:r>
    </w:p>
    <w:p>
      <w:pPr>
        <w:pStyle w:val="ListBullet"/>
        <w:spacing w:after="60"/>
      </w:pPr>
      <w:r>
        <w:rPr>
          <w:sz w:val="21"/>
        </w:rPr>
        <w:t>Does humanity eventually spread to the stars, and when?</w:t>
      </w:r>
    </w:p>
    <w:p>
      <w:pPr>
        <w:pStyle w:val="ListBullet"/>
        <w:spacing w:after="60"/>
      </w:pPr>
      <w:r>
        <w:rPr>
          <w:sz w:val="21"/>
        </w:rPr>
        <w:t>How much does Earth's carrying capacity grow?</w:t>
      </w:r>
    </w:p>
    <w:p>
      <w:pPr>
        <w:pStyle w:val="ListBullet"/>
        <w:spacing w:after="60"/>
      </w:pPr>
      <w:r>
        <w:rPr>
          <w:sz w:val="21"/>
        </w:rPr>
        <w:t>How effective is this specific grant?</w:t>
      </w:r>
    </w:p>
    <w:p>
      <w:pPr>
        <w:spacing w:after="100"/>
      </w:pPr>
      <w:r>
        <w:rPr>
          <w:sz w:val="21"/>
        </w:rPr>
        <w:t>Running 100,000 such draws gives a distribution of outcomes — from 'nearly nothing' to 'astronomical value.' The final reported numbers summarise this distribution: the mean (expected value), selected percentiles, and several risk-weighted variants that discount very large tail outcomes.</w:t>
      </w:r>
    </w:p>
    <w:p>
      <w:pPr>
        <w:spacing w:before="100" w:after="160"/>
        <w:ind w:left="283" w:right="283"/>
        <w:shd w:val="clear" w:color="auto" w:fill="EAF4FB"/>
      </w:pPr>
      <w:r>
        <w:rPr>
          <w:i/>
          <w:color w:val="1A5C82"/>
          <w:sz w:val="20"/>
        </w:rPr>
        <w:t>The model is deliberately transparent about its uncertainty. A wide spread between the 10th and 90th percentile outcome is not a flaw — it honestly reflects how much we don't know about catastrophic risk and long-run civilisational trajectories.</w:t>
      </w:r>
    </w:p>
    <w:p>
      <w:pPr>
        <w:pStyle w:val="Heading1"/>
      </w:pPr>
      <w:r>
        <w:t>9.  What the output numbers mean</w:t>
      </w:r>
    </w:p>
    <w:p>
      <w:pPr>
        <w:spacing w:after="100"/>
      </w:pPr>
      <w:r>
        <w:rPr>
          <w:sz w:val="21"/>
        </w:rPr>
        <w:t>Results are expressed as QALYs (quality-adjusted life years) or equivalent welfare units per dollar spent. Because long-run value is so large in some scenarios, the numbers can look astronomically high. Several perspectives are provided:</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Output label</w:t>
            </w:r>
          </w:p>
        </w:tc>
        <w:tc>
          <w:tcPr>
            <w:tcW w:type="dxa" w:w="4533"/>
            <w:shd w:val="clear" w:color="auto" w:fill="D2DCF0"/>
          </w:tcPr>
          <w:p>
            <w:r>
              <w:rPr>
                <w:b/>
                <w:color w:val="1E3C78"/>
                <w:sz w:val="19"/>
              </w:rPr>
              <w:t>What it captures</w:t>
            </w:r>
          </w:p>
        </w:tc>
      </w:tr>
      <w:tr>
        <w:tc>
          <w:tcPr>
            <w:tcW w:type="dxa" w:w="4533"/>
            <w:shd w:val="clear" w:color="auto" w:fill="F5F7FC"/>
          </w:tcPr>
          <w:p>
            <w:r>
              <w:rPr>
                <w:sz w:val="19"/>
              </w:rPr>
              <w:t>Neutral (mean)</w:t>
            </w:r>
          </w:p>
        </w:tc>
        <w:tc>
          <w:tcPr>
            <w:tcW w:type="dxa" w:w="4533"/>
            <w:shd w:val="clear" w:color="auto" w:fill="F5F7FC"/>
          </w:tcPr>
          <w:p>
            <w:r>
              <w:rPr>
                <w:sz w:val="19"/>
              </w:rPr>
              <w:t>Simple probability-weighted average across all scenarios</w:t>
            </w:r>
          </w:p>
        </w:tc>
      </w:tr>
      <w:tr>
        <w:tc>
          <w:tcPr>
            <w:tcW w:type="dxa" w:w="4533"/>
            <w:shd w:val="clear" w:color="auto" w:fill="FFFFFF"/>
          </w:tcPr>
          <w:p>
            <w:r>
              <w:rPr>
                <w:sz w:val="19"/>
              </w:rPr>
              <w:t>Upside</w:t>
            </w:r>
          </w:p>
        </w:tc>
        <w:tc>
          <w:tcPr>
            <w:tcW w:type="dxa" w:w="4533"/>
            <w:shd w:val="clear" w:color="auto" w:fill="FFFFFF"/>
          </w:tcPr>
          <w:p>
            <w:r>
              <w:rPr>
                <w:sz w:val="19"/>
              </w:rPr>
              <w:t>Trims the top tail — ignores scenarios with the very largest values</w:t>
            </w:r>
          </w:p>
        </w:tc>
      </w:tr>
      <w:tr>
        <w:tc>
          <w:tcPr>
            <w:tcW w:type="dxa" w:w="4533"/>
            <w:shd w:val="clear" w:color="auto" w:fill="F5F7FC"/>
          </w:tcPr>
          <w:p>
            <w:r>
              <w:rPr>
                <w:sz w:val="19"/>
              </w:rPr>
              <w:t>Downside</w:t>
            </w:r>
          </w:p>
        </w:tc>
        <w:tc>
          <w:tcPr>
            <w:tcW w:type="dxa" w:w="4533"/>
            <w:shd w:val="clear" w:color="auto" w:fill="F5F7FC"/>
          </w:tcPr>
          <w:p>
            <w:r>
              <w:rPr>
                <w:sz w:val="19"/>
              </w:rPr>
              <w:t>Applies extra weight to bad outcomes (loss-aversion)</w:t>
            </w:r>
          </w:p>
        </w:tc>
      </w:tr>
      <w:tr>
        <w:tc>
          <w:tcPr>
            <w:tcW w:type="dxa" w:w="4533"/>
            <w:shd w:val="clear" w:color="auto" w:fill="FFFFFF"/>
          </w:tcPr>
          <w:p>
            <w:r>
              <w:rPr>
                <w:sz w:val="19"/>
              </w:rPr>
              <w:t>Combined</w:t>
            </w:r>
          </w:p>
        </w:tc>
        <w:tc>
          <w:tcPr>
            <w:tcW w:type="dxa" w:w="4533"/>
            <w:shd w:val="clear" w:color="auto" w:fill="FFFFFF"/>
          </w:tcPr>
          <w:p>
            <w:r>
              <w:rPr>
                <w:sz w:val="19"/>
              </w:rPr>
              <w:t>Percentile-weighted + loss-averse — a 'cautious' summary</w:t>
            </w:r>
          </w:p>
        </w:tc>
      </w:tr>
      <w:tr>
        <w:tc>
          <w:tcPr>
            <w:tcW w:type="dxa" w:w="4533"/>
            <w:shd w:val="clear" w:color="auto" w:fill="F5F7FC"/>
          </w:tcPr>
          <w:p>
            <w:r>
              <w:rPr>
                <w:sz w:val="19"/>
              </w:rPr>
              <w:t>DMREU</w:t>
            </w:r>
          </w:p>
        </w:tc>
        <w:tc>
          <w:tcPr>
            <w:tcW w:type="dxa" w:w="4533"/>
            <w:shd w:val="clear" w:color="auto" w:fill="F5F7FC"/>
          </w:tcPr>
          <w:p>
            <w:r>
              <w:rPr>
                <w:sz w:val="19"/>
              </w:rPr>
              <w:t>Difference-Making Risk-Weighted EU — extra caution about rare large outcomes</w:t>
            </w:r>
          </w:p>
        </w:tc>
      </w:tr>
      <w:tr>
        <w:tc>
          <w:tcPr>
            <w:tcW w:type="dxa" w:w="4533"/>
            <w:shd w:val="clear" w:color="auto" w:fill="FFFFFF"/>
          </w:tcPr>
          <w:p>
            <w:r>
              <w:rPr>
                <w:sz w:val="19"/>
              </w:rPr>
              <w:t>WLU variants</w:t>
            </w:r>
          </w:p>
        </w:tc>
        <w:tc>
          <w:tcPr>
            <w:tcW w:type="dxa" w:w="4533"/>
            <w:shd w:val="clear" w:color="auto" w:fill="FFFFFF"/>
          </w:tcPr>
          <w:p>
            <w:r>
              <w:rPr>
                <w:sz w:val="19"/>
              </w:rPr>
              <w:t>Weighted linear utility at different levels of risk aversion</w:t>
            </w:r>
          </w:p>
        </w:tc>
      </w:tr>
      <w:tr>
        <w:tc>
          <w:tcPr>
            <w:tcW w:type="dxa" w:w="4533"/>
            <w:shd w:val="clear" w:color="auto" w:fill="F5F7FC"/>
          </w:tcPr>
          <w:p>
            <w:r>
              <w:rPr>
                <w:sz w:val="19"/>
              </w:rPr>
              <w:t>Ambiguity-averse</w:t>
            </w:r>
          </w:p>
        </w:tc>
        <w:tc>
          <w:tcPr>
            <w:tcW w:type="dxa" w:w="4533"/>
            <w:shd w:val="clear" w:color="auto" w:fill="F5F7FC"/>
          </w:tcPr>
          <w:p>
            <w:r>
              <w:rPr>
                <w:sz w:val="19"/>
              </w:rPr>
              <w:t>Discounts outcomes where our uncertainty is especially deep</w:t>
            </w:r>
          </w:p>
        </w:tc>
      </w:tr>
    </w:tbl>
    <w:p/>
    <w:p>
      <w:pPr>
        <w:spacing w:after="100"/>
      </w:pPr>
      <w:r>
        <w:rPr>
          <w:sz w:val="21"/>
        </w:rPr>
        <w:t>For GCR work, the 'combined' and 'downside' figures tend to be most decision-relevant because they acknowledge that decision-makers reasonably don't want to rely entirely on the mean of a distribution that includes trillion-QALY tails.</w:t>
      </w:r>
    </w:p>
    <w:p>
      <w:pPr>
        <w:pStyle w:val="Heading1"/>
      </w:pPr>
      <w:r>
        <w:t>10.  Diminishing returns at larger budgets</w:t>
      </w:r>
    </w:p>
    <w:p>
      <w:pPr>
        <w:spacing w:after="100"/>
      </w:pPr>
      <w:r>
        <w:rPr>
          <w:sz w:val="21"/>
        </w:rPr>
        <w:t>If we were to give much more money to one of these funds, the marginal value per dollar would eventually fall — there is only so much a single organisation can absorb and deploy effectively. Each fund profile includes 'diminishing returns anchors' based on survey responses about absorptive capacity:</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Fund</w:t>
            </w:r>
          </w:p>
        </w:tc>
        <w:tc>
          <w:tcPr>
            <w:tcW w:type="dxa" w:w="3022"/>
            <w:shd w:val="clear" w:color="auto" w:fill="D2DCF0"/>
          </w:tcPr>
          <w:p>
            <w:r>
              <w:rPr>
                <w:b/>
                <w:color w:val="1E3C78"/>
                <w:sz w:val="19"/>
              </w:rPr>
              <w:t>Budget multiple</w:t>
            </w:r>
          </w:p>
        </w:tc>
        <w:tc>
          <w:tcPr>
            <w:tcW w:type="dxa" w:w="3022"/>
            <w:shd w:val="clear" w:color="auto" w:fill="D2DCF0"/>
          </w:tcPr>
          <w:p>
            <w:r>
              <w:rPr>
                <w:b/>
                <w:color w:val="1E3C78"/>
                <w:sz w:val="19"/>
              </w:rPr>
              <w:t>Marginal effectiveness at that scale</w:t>
            </w:r>
          </w:p>
        </w:tc>
      </w:tr>
      <w:tr>
        <w:tc>
          <w:tcPr>
            <w:tcW w:type="dxa" w:w="3022"/>
            <w:shd w:val="clear" w:color="auto" w:fill="F5F7FC"/>
          </w:tcPr>
          <w:p>
            <w:r>
              <w:rPr>
                <w:sz w:val="19"/>
              </w:rPr>
              <w:t>Sentinel Bio</w:t>
            </w:r>
          </w:p>
        </w:tc>
        <w:tc>
          <w:tcPr>
            <w:tcW w:type="dxa" w:w="3022"/>
            <w:shd w:val="clear" w:color="auto" w:fill="F5F7FC"/>
          </w:tcPr>
          <w:p>
            <w:r>
              <w:rPr>
                <w:sz w:val="19"/>
              </w:rPr>
              <w:t>2× ($14M)</w:t>
            </w:r>
          </w:p>
        </w:tc>
        <w:tc>
          <w:tcPr>
            <w:tcW w:type="dxa" w:w="3022"/>
            <w:shd w:val="clear" w:color="auto" w:fill="F5F7FC"/>
          </w:tcPr>
          <w:p>
            <w:r>
              <w:rPr>
                <w:sz w:val="19"/>
              </w:rPr>
              <w:t>Same as baseline</w:t>
            </w:r>
          </w:p>
        </w:tc>
      </w:tr>
      <w:tr>
        <w:tc>
          <w:tcPr>
            <w:tcW w:type="dxa" w:w="3022"/>
            <w:shd w:val="clear" w:color="auto" w:fill="FFFFFF"/>
          </w:tcPr>
          <w:p>
            <w:r>
              <w:rPr>
                <w:sz w:val="19"/>
              </w:rPr>
              <w:t>Sentinel Bio</w:t>
            </w:r>
          </w:p>
        </w:tc>
        <w:tc>
          <w:tcPr>
            <w:tcW w:type="dxa" w:w="3022"/>
            <w:shd w:val="clear" w:color="auto" w:fill="FFFFFF"/>
          </w:tcPr>
          <w:p>
            <w:r>
              <w:rPr>
                <w:sz w:val="19"/>
              </w:rPr>
              <w:t>10× ($72M)</w:t>
            </w:r>
          </w:p>
        </w:tc>
        <w:tc>
          <w:tcPr>
            <w:tcW w:type="dxa" w:w="3022"/>
            <w:shd w:val="clear" w:color="auto" w:fill="FFFFFF"/>
          </w:tcPr>
          <w:p>
            <w:r>
              <w:rPr>
                <w:sz w:val="19"/>
              </w:rPr>
              <w:t>~30% of baseline</w:t>
            </w:r>
          </w:p>
        </w:tc>
      </w:tr>
      <w:tr>
        <w:tc>
          <w:tcPr>
            <w:tcW w:type="dxa" w:w="3022"/>
            <w:shd w:val="clear" w:color="auto" w:fill="F5F7FC"/>
          </w:tcPr>
          <w:p>
            <w:r>
              <w:rPr>
                <w:sz w:val="19"/>
              </w:rPr>
              <w:t>Sentinel Bio</w:t>
            </w:r>
          </w:p>
        </w:tc>
        <w:tc>
          <w:tcPr>
            <w:tcW w:type="dxa" w:w="3022"/>
            <w:shd w:val="clear" w:color="auto" w:fill="F5F7FC"/>
          </w:tcPr>
          <w:p>
            <w:r>
              <w:rPr>
                <w:sz w:val="19"/>
              </w:rPr>
              <w:t>20× ($144M)</w:t>
            </w:r>
          </w:p>
        </w:tc>
        <w:tc>
          <w:tcPr>
            <w:tcW w:type="dxa" w:w="3022"/>
            <w:shd w:val="clear" w:color="auto" w:fill="F5F7FC"/>
          </w:tcPr>
          <w:p>
            <w:r>
              <w:rPr>
                <w:sz w:val="19"/>
              </w:rPr>
              <w:t>~5% of baseline</w:t>
            </w:r>
          </w:p>
        </w:tc>
      </w:tr>
      <w:tr>
        <w:tc>
          <w:tcPr>
            <w:tcW w:type="dxa" w:w="3022"/>
            <w:shd w:val="clear" w:color="auto" w:fill="FFFFFF"/>
          </w:tcPr>
          <w:p>
            <w:r>
              <w:rPr>
                <w:sz w:val="19"/>
              </w:rPr>
              <w:t>Longview Nuclear</w:t>
            </w:r>
          </w:p>
        </w:tc>
        <w:tc>
          <w:tcPr>
            <w:tcW w:type="dxa" w:w="3022"/>
            <w:shd w:val="clear" w:color="auto" w:fill="FFFFFF"/>
          </w:tcPr>
          <w:p>
            <w:r>
              <w:rPr>
                <w:sz w:val="19"/>
              </w:rPr>
              <w:t>2× ($11M)</w:t>
            </w:r>
          </w:p>
        </w:tc>
        <w:tc>
          <w:tcPr>
            <w:tcW w:type="dxa" w:w="3022"/>
            <w:shd w:val="clear" w:color="auto" w:fill="FFFFFF"/>
          </w:tcPr>
          <w:p>
            <w:r>
              <w:rPr>
                <w:sz w:val="19"/>
              </w:rPr>
              <w:t>Same as baseline</w:t>
            </w:r>
          </w:p>
        </w:tc>
      </w:tr>
      <w:tr>
        <w:tc>
          <w:tcPr>
            <w:tcW w:type="dxa" w:w="3022"/>
            <w:shd w:val="clear" w:color="auto" w:fill="F5F7FC"/>
          </w:tcPr>
          <w:p>
            <w:r>
              <w:rPr>
                <w:sz w:val="19"/>
              </w:rPr>
              <w:t>Longview Nuclear</w:t>
            </w:r>
          </w:p>
        </w:tc>
        <w:tc>
          <w:tcPr>
            <w:tcW w:type="dxa" w:w="3022"/>
            <w:shd w:val="clear" w:color="auto" w:fill="F5F7FC"/>
          </w:tcPr>
          <w:p>
            <w:r>
              <w:rPr>
                <w:sz w:val="19"/>
              </w:rPr>
              <w:t>5× ($29M)</w:t>
            </w:r>
          </w:p>
        </w:tc>
        <w:tc>
          <w:tcPr>
            <w:tcW w:type="dxa" w:w="3022"/>
            <w:shd w:val="clear" w:color="auto" w:fill="F5F7FC"/>
          </w:tcPr>
          <w:p>
            <w:r>
              <w:rPr>
                <w:sz w:val="19"/>
              </w:rPr>
              <w:t>~80% of baseline</w:t>
            </w:r>
          </w:p>
        </w:tc>
      </w:tr>
      <w:tr>
        <w:tc>
          <w:tcPr>
            <w:tcW w:type="dxa" w:w="3022"/>
            <w:shd w:val="clear" w:color="auto" w:fill="FFFFFF"/>
          </w:tcPr>
          <w:p>
            <w:r>
              <w:rPr>
                <w:sz w:val="19"/>
              </w:rPr>
              <w:t>Longview Nuclear</w:t>
            </w:r>
          </w:p>
        </w:tc>
        <w:tc>
          <w:tcPr>
            <w:tcW w:type="dxa" w:w="3022"/>
            <w:shd w:val="clear" w:color="auto" w:fill="FFFFFF"/>
          </w:tcPr>
          <w:p>
            <w:r>
              <w:rPr>
                <w:sz w:val="19"/>
              </w:rPr>
              <w:t>8× ($46M)</w:t>
            </w:r>
          </w:p>
        </w:tc>
        <w:tc>
          <w:tcPr>
            <w:tcW w:type="dxa" w:w="3022"/>
            <w:shd w:val="clear" w:color="auto" w:fill="FFFFFF"/>
          </w:tcPr>
          <w:p>
            <w:r>
              <w:rPr>
                <w:sz w:val="19"/>
              </w:rPr>
              <w:t>~25% of baseline</w:t>
            </w:r>
          </w:p>
        </w:tc>
      </w:tr>
      <w:tr>
        <w:tc>
          <w:tcPr>
            <w:tcW w:type="dxa" w:w="3022"/>
            <w:shd w:val="clear" w:color="auto" w:fill="F5F7FC"/>
          </w:tcPr>
          <w:p>
            <w:r>
              <w:rPr>
                <w:sz w:val="19"/>
              </w:rPr>
              <w:t>Longview AI</w:t>
            </w:r>
          </w:p>
        </w:tc>
        <w:tc>
          <w:tcPr>
            <w:tcW w:type="dxa" w:w="3022"/>
            <w:shd w:val="clear" w:color="auto" w:fill="F5F7FC"/>
          </w:tcPr>
          <w:p>
            <w:r>
              <w:rPr>
                <w:sz w:val="19"/>
              </w:rPr>
              <w:t>~0.7× ($50M)</w:t>
            </w:r>
          </w:p>
        </w:tc>
        <w:tc>
          <w:tcPr>
            <w:tcW w:type="dxa" w:w="3022"/>
            <w:shd w:val="clear" w:color="auto" w:fill="F5F7FC"/>
          </w:tcPr>
          <w:p>
            <w:r>
              <w:rPr>
                <w:sz w:val="19"/>
              </w:rPr>
              <w:t>Same as baseline</w:t>
            </w:r>
          </w:p>
        </w:tc>
      </w:tr>
      <w:tr>
        <w:tc>
          <w:tcPr>
            <w:tcW w:type="dxa" w:w="3022"/>
            <w:shd w:val="clear" w:color="auto" w:fill="FFFFFF"/>
          </w:tcPr>
          <w:p>
            <w:r>
              <w:rPr>
                <w:sz w:val="19"/>
              </w:rPr>
              <w:t>Longview AI</w:t>
            </w:r>
          </w:p>
        </w:tc>
        <w:tc>
          <w:tcPr>
            <w:tcW w:type="dxa" w:w="3022"/>
            <w:shd w:val="clear" w:color="auto" w:fill="FFFFFF"/>
          </w:tcPr>
          <w:p>
            <w:r>
              <w:rPr>
                <w:sz w:val="19"/>
              </w:rPr>
              <w:t>~2.7× ($190M)</w:t>
            </w:r>
          </w:p>
        </w:tc>
        <w:tc>
          <w:tcPr>
            <w:tcW w:type="dxa" w:w="3022"/>
            <w:shd w:val="clear" w:color="auto" w:fill="FFFFFF"/>
          </w:tcPr>
          <w:p>
            <w:r>
              <w:rPr>
                <w:sz w:val="19"/>
              </w:rPr>
              <w:t>~50% of baseline</w:t>
            </w:r>
          </w:p>
        </w:tc>
      </w:tr>
    </w:tbl>
    <w:p/>
    <w:p>
      <w:pPr>
        <w:spacing w:after="100"/>
      </w:pPr>
      <w:r>
        <w:rPr>
          <w:sz w:val="21"/>
        </w:rPr>
        <w:t>These anchors are used by downstream analysis (e.g. computing cost-effectiveness at the margin) and are not part of the core risk simulation.</w:t>
      </w:r>
    </w:p>
    <w:p>
      <w:pPr>
        <w:pStyle w:val="Heading1"/>
      </w:pPr>
      <w:r>
        <w:t>11.  Key limitations and honest caveats</w:t>
      </w:r>
    </w:p>
    <w:p>
      <w:pPr>
        <w:spacing w:after="100"/>
      </w:pPr>
      <w:r>
        <w:rPr>
          <w:sz w:val="21"/>
        </w:rPr>
        <w:t>This model involves some very large numbers and deep uncertainty. The following caveats are important to keep in mind:</w:t>
      </w:r>
    </w:p>
    <w:p>
      <w:pPr>
        <w:pStyle w:val="ListBullet"/>
        <w:spacing w:after="60"/>
      </w:pPr>
      <w:r>
        <w:rPr>
          <w:b/>
          <w:sz w:val="21"/>
        </w:rPr>
        <w:t xml:space="preserve">Garbage in, garbage out. </w:t>
      </w:r>
      <w:r>
        <w:rPr>
          <w:sz w:val="21"/>
        </w:rPr>
        <w:t>The model's outputs are only as good as its inputs. The 'cause fractions' and 'relative risk reduction per dollar' assumptions are derived from expert judgment and survey responses, not empirical measurement. They carry wide uncertainty.</w:t>
      </w:r>
    </w:p>
    <w:p>
      <w:pPr>
        <w:pStyle w:val="ListBullet"/>
        <w:spacing w:after="60"/>
      </w:pPr>
      <w:r>
        <w:rPr>
          <w:b/>
          <w:sz w:val="21"/>
        </w:rPr>
        <w:t xml:space="preserve">Long-run value dominates. </w:t>
      </w:r>
      <w:r>
        <w:rPr>
          <w:sz w:val="21"/>
        </w:rPr>
        <w:t>Stellar expansion scenarios, while assigned only 10% probability, dominate the mean expected value. Readers who are skeptical of very long-run value should focus on the earth-only or risk-averse output columns.</w:t>
      </w:r>
    </w:p>
    <w:p>
      <w:pPr>
        <w:pStyle w:val="ListBullet"/>
        <w:spacing w:after="60"/>
      </w:pPr>
      <w:r>
        <w:rPr>
          <w:b/>
          <w:sz w:val="21"/>
        </w:rPr>
        <w:t xml:space="preserve">AI's large cause fraction. </w:t>
      </w:r>
      <w:r>
        <w:rPr>
          <w:sz w:val="21"/>
        </w:rPr>
        <w:t>The 'cause fractions' come from a single RP cross-cause model. If the true distribution of risk across causes looks very different, the relative rankings of funds could change substantially.</w:t>
      </w:r>
    </w:p>
    <w:p>
      <w:pPr>
        <w:pStyle w:val="ListBullet"/>
        <w:spacing w:after="60"/>
      </w:pPr>
      <w:r>
        <w:rPr>
          <w:b/>
          <w:sz w:val="21"/>
        </w:rPr>
        <w:t xml:space="preserve">Symmetric effectiveness assumptions. </w:t>
      </w:r>
      <w:r>
        <w:rPr>
          <w:sz w:val="21"/>
        </w:rPr>
        <w:t>All three funds currently use the same effectiveness assumptions (0.002% per $10M central estimate). This reflects a judgment that we lack strong evidence to differentiate them on intervention effectiveness alone.</w:t>
      </w:r>
    </w:p>
    <w:p>
      <w:pPr>
        <w:pStyle w:val="ListBullet"/>
        <w:spacing w:after="60"/>
      </w:pPr>
      <w:r>
        <w:rPr>
          <w:b/>
          <w:sz w:val="21"/>
        </w:rPr>
        <w:t xml:space="preserve">Model boundary. </w:t>
      </w:r>
      <w:r>
        <w:rPr>
          <w:sz w:val="21"/>
        </w:rPr>
        <w:t>The model does not account for portfolio effects, strategic interactions between funders, or second-order effects of funding one cause on others.</w:t>
      </w:r>
    </w:p>
    <w:p>
      <w:pPr>
        <w:pStyle w:val="Heading1"/>
      </w:pPr>
      <w:r>
        <w:t>12.  At a glance: key model parameters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Parameter</w:t>
            </w:r>
          </w:p>
        </w:tc>
        <w:tc>
          <w:tcPr>
            <w:tcW w:type="dxa" w:w="2266"/>
            <w:shd w:val="clear" w:color="auto" w:fill="D2DCF0"/>
          </w:tcPr>
          <w:p>
            <w:r>
              <w:rPr>
                <w:b/>
                <w:color w:val="1E3C78"/>
                <w:sz w:val="19"/>
              </w:rPr>
              <w:t>Sentinel Bio</w:t>
            </w:r>
          </w:p>
        </w:tc>
        <w:tc>
          <w:tcPr>
            <w:tcW w:type="dxa" w:w="2266"/>
            <w:shd w:val="clear" w:color="auto" w:fill="D2DCF0"/>
          </w:tcPr>
          <w:p>
            <w:r>
              <w:rPr>
                <w:b/>
                <w:color w:val="1E3C78"/>
                <w:sz w:val="19"/>
              </w:rPr>
              <w:t>Longview Nuclear</w:t>
            </w:r>
          </w:p>
        </w:tc>
        <w:tc>
          <w:tcPr>
            <w:tcW w:type="dxa" w:w="2266"/>
            <w:shd w:val="clear" w:color="auto" w:fill="D2DCF0"/>
          </w:tcPr>
          <w:p>
            <w:r>
              <w:rPr>
                <w:b/>
                <w:color w:val="1E3C78"/>
                <w:sz w:val="19"/>
              </w:rPr>
              <w:t>Longview AI</w:t>
            </w:r>
          </w:p>
        </w:tc>
      </w:tr>
      <w:tr>
        <w:tc>
          <w:tcPr>
            <w:tcW w:type="dxa" w:w="2266"/>
            <w:shd w:val="clear" w:color="auto" w:fill="F5F7FC"/>
          </w:tcPr>
          <w:p>
            <w:r>
              <w:rPr>
                <w:sz w:val="19"/>
              </w:rPr>
              <w:t>Budget</w:t>
            </w:r>
          </w:p>
        </w:tc>
        <w:tc>
          <w:tcPr>
            <w:tcW w:type="dxa" w:w="2266"/>
            <w:shd w:val="clear" w:color="auto" w:fill="F5F7FC"/>
          </w:tcPr>
          <w:p>
            <w:r>
              <w:rPr>
                <w:sz w:val="19"/>
              </w:rPr>
              <w:t>$21.6M</w:t>
            </w:r>
          </w:p>
        </w:tc>
        <w:tc>
          <w:tcPr>
            <w:tcW w:type="dxa" w:w="2266"/>
            <w:shd w:val="clear" w:color="auto" w:fill="F5F7FC"/>
          </w:tcPr>
          <w:p>
            <w:r>
              <w:rPr>
                <w:sz w:val="19"/>
              </w:rPr>
              <w:t>$17.1M</w:t>
            </w:r>
          </w:p>
        </w:tc>
        <w:tc>
          <w:tcPr>
            <w:tcW w:type="dxa" w:w="2266"/>
            <w:shd w:val="clear" w:color="auto" w:fill="F5F7FC"/>
          </w:tcPr>
          <w:p>
            <w:r>
              <w:rPr>
                <w:sz w:val="19"/>
              </w:rPr>
              <w:t>$210M</w:t>
            </w:r>
          </w:p>
        </w:tc>
      </w:tr>
      <w:tr>
        <w:tc>
          <w:tcPr>
            <w:tcW w:type="dxa" w:w="2266"/>
            <w:shd w:val="clear" w:color="auto" w:fill="FFFFFF"/>
          </w:tcPr>
          <w:p>
            <w:r>
              <w:rPr>
                <w:sz w:val="19"/>
              </w:rPr>
              <w:t>Cause fraction of total x-risk</w:t>
            </w:r>
          </w:p>
        </w:tc>
        <w:tc>
          <w:tcPr>
            <w:tcW w:type="dxa" w:w="2266"/>
            <w:shd w:val="clear" w:color="auto" w:fill="FFFFFF"/>
          </w:tcPr>
          <w:p>
            <w:r>
              <w:rPr>
                <w:sz w:val="19"/>
              </w:rPr>
              <w:t>0.6%</w:t>
            </w:r>
          </w:p>
        </w:tc>
        <w:tc>
          <w:tcPr>
            <w:tcW w:type="dxa" w:w="2266"/>
            <w:shd w:val="clear" w:color="auto" w:fill="FFFFFF"/>
          </w:tcPr>
          <w:p>
            <w:r>
              <w:rPr>
                <w:sz w:val="19"/>
              </w:rPr>
              <w:t>3.5%</w:t>
            </w:r>
          </w:p>
        </w:tc>
        <w:tc>
          <w:tcPr>
            <w:tcW w:type="dxa" w:w="2266"/>
            <w:shd w:val="clear" w:color="auto" w:fill="FFFFFF"/>
          </w:tcPr>
          <w:p>
            <w:r>
              <w:rPr>
                <w:sz w:val="19"/>
              </w:rPr>
              <w:t>91.9%</w:t>
            </w:r>
          </w:p>
        </w:tc>
      </w:tr>
      <w:tr>
        <w:tc>
          <w:tcPr>
            <w:tcW w:type="dxa" w:w="2266"/>
            <w:shd w:val="clear" w:color="auto" w:fill="F5F7FC"/>
          </w:tcPr>
          <w:p>
            <w:r>
              <w:rPr>
                <w:sz w:val="19"/>
              </w:rPr>
              <w:t>Rel. risk reduction / $10M (central)</w:t>
            </w:r>
          </w:p>
        </w:tc>
        <w:tc>
          <w:tcPr>
            <w:tcW w:type="dxa" w:w="2266"/>
            <w:shd w:val="clear" w:color="auto" w:fill="F5F7FC"/>
          </w:tcPr>
          <w:p>
            <w:r>
              <w:rPr>
                <w:sz w:val="19"/>
              </w:rPr>
              <w:t>0.0200%</w:t>
            </w:r>
          </w:p>
        </w:tc>
        <w:tc>
          <w:tcPr>
            <w:tcW w:type="dxa" w:w="2266"/>
            <w:shd w:val="clear" w:color="auto" w:fill="F5F7FC"/>
          </w:tcPr>
          <w:p>
            <w:r>
              <w:rPr>
                <w:sz w:val="19"/>
              </w:rPr>
              <w:t>0.0200%</w:t>
            </w:r>
          </w:p>
        </w:tc>
        <w:tc>
          <w:tcPr>
            <w:tcW w:type="dxa" w:w="2266"/>
            <w:shd w:val="clear" w:color="auto" w:fill="F5F7FC"/>
          </w:tcPr>
          <w:p>
            <w:r>
              <w:rPr>
                <w:sz w:val="19"/>
              </w:rPr>
              <w:t>0.0200%</w:t>
            </w:r>
          </w:p>
        </w:tc>
      </w:tr>
      <w:tr>
        <w:tc>
          <w:tcPr>
            <w:tcW w:type="dxa" w:w="2266"/>
            <w:shd w:val="clear" w:color="auto" w:fill="FFFFFF"/>
          </w:tcPr>
          <w:p>
            <w:r>
              <w:rPr>
                <w:sz w:val="19"/>
              </w:rPr>
              <w:t>Effect starts (years from now)</w:t>
            </w:r>
          </w:p>
        </w:tc>
        <w:tc>
          <w:tcPr>
            <w:tcW w:type="dxa" w:w="2266"/>
            <w:shd w:val="clear" w:color="auto" w:fill="FFFFFF"/>
          </w:tcPr>
          <w:p>
            <w:r>
              <w:rPr>
                <w:sz w:val="19"/>
              </w:rPr>
              <w:t>0</w:t>
            </w:r>
          </w:p>
        </w:tc>
        <w:tc>
          <w:tcPr>
            <w:tcW w:type="dxa" w:w="2266"/>
            <w:shd w:val="clear" w:color="auto" w:fill="FFFFFF"/>
          </w:tcPr>
          <w:p>
            <w:r>
              <w:rPr>
                <w:sz w:val="19"/>
              </w:rPr>
              <w:t>4</w:t>
            </w:r>
          </w:p>
        </w:tc>
        <w:tc>
          <w:tcPr>
            <w:tcW w:type="dxa" w:w="2266"/>
            <w:shd w:val="clear" w:color="auto" w:fill="FFFFFF"/>
          </w:tcPr>
          <w:p>
            <w:r>
              <w:rPr>
                <w:sz w:val="19"/>
              </w:rPr>
              <w:t>3</w:t>
            </w:r>
          </w:p>
        </w:tc>
      </w:tr>
      <w:tr>
        <w:tc>
          <w:tcPr>
            <w:tcW w:type="dxa" w:w="2266"/>
            <w:shd w:val="clear" w:color="auto" w:fill="F5F7FC"/>
          </w:tcPr>
          <w:p>
            <w:r>
              <w:rPr>
                <w:sz w:val="19"/>
              </w:rPr>
              <w:t>Effect lasts (years)</w:t>
            </w:r>
          </w:p>
        </w:tc>
        <w:tc>
          <w:tcPr>
            <w:tcW w:type="dxa" w:w="2266"/>
            <w:shd w:val="clear" w:color="auto" w:fill="F5F7FC"/>
          </w:tcPr>
          <w:p>
            <w:r>
              <w:rPr>
                <w:sz w:val="19"/>
              </w:rPr>
              <w:t>15</w:t>
            </w:r>
          </w:p>
        </w:tc>
        <w:tc>
          <w:tcPr>
            <w:tcW w:type="dxa" w:w="2266"/>
            <w:shd w:val="clear" w:color="auto" w:fill="F5F7FC"/>
          </w:tcPr>
          <w:p>
            <w:r>
              <w:rPr>
                <w:sz w:val="19"/>
              </w:rPr>
              <w:t>21</w:t>
            </w:r>
          </w:p>
        </w:tc>
        <w:tc>
          <w:tcPr>
            <w:tcW w:type="dxa" w:w="2266"/>
            <w:shd w:val="clear" w:color="auto" w:fill="F5F7FC"/>
          </w:tcPr>
          <w:p>
            <w:r>
              <w:rPr>
                <w:sz w:val="19"/>
              </w:rPr>
              <w:t>12</w:t>
            </w:r>
          </w:p>
        </w:tc>
      </w:tr>
      <w:tr>
        <w:tc>
          <w:tcPr>
            <w:tcW w:type="dxa" w:w="2266"/>
            <w:shd w:val="clear" w:color="auto" w:fill="FFFFFF"/>
          </w:tcPr>
          <w:p>
            <w:r>
              <w:rPr>
                <w:sz w:val="19"/>
              </w:rPr>
              <w:t>Counterfactual factor</w:t>
            </w:r>
          </w:p>
        </w:tc>
        <w:tc>
          <w:tcPr>
            <w:tcW w:type="dxa" w:w="2266"/>
            <w:shd w:val="clear" w:color="auto" w:fill="FFFFFF"/>
          </w:tcPr>
          <w:p>
            <w:r>
              <w:rPr>
                <w:sz w:val="19"/>
              </w:rPr>
              <w:t>87.5%</w:t>
            </w:r>
          </w:p>
        </w:tc>
        <w:tc>
          <w:tcPr>
            <w:tcW w:type="dxa" w:w="2266"/>
            <w:shd w:val="clear" w:color="auto" w:fill="FFFFFF"/>
          </w:tcPr>
          <w:p>
            <w:r>
              <w:rPr>
                <w:sz w:val="19"/>
              </w:rPr>
              <w:t>85.0%</w:t>
            </w:r>
          </w:p>
        </w:tc>
        <w:tc>
          <w:tcPr>
            <w:tcW w:type="dxa" w:w="2266"/>
            <w:shd w:val="clear" w:color="auto" w:fill="FFFFFF"/>
          </w:tcPr>
          <w:p>
            <w:r>
              <w:rPr>
                <w:sz w:val="19"/>
              </w:rPr>
              <w:t>72.5%</w:t>
            </w:r>
          </w:p>
        </w:tc>
      </w:tr>
      <w:tr>
        <w:tc>
          <w:tcPr>
            <w:tcW w:type="dxa" w:w="2266"/>
            <w:shd w:val="clear" w:color="auto" w:fill="F5F7FC"/>
          </w:tcPr>
          <w:p>
            <w:r>
              <w:rPr>
                <w:sz w:val="19"/>
              </w:rPr>
              <w:t>P(intervention has no effect)</w:t>
            </w:r>
          </w:p>
        </w:tc>
        <w:tc>
          <w:tcPr>
            <w:tcW w:type="dxa" w:w="2266"/>
            <w:shd w:val="clear" w:color="auto" w:fill="F5F7FC"/>
          </w:tcPr>
          <w:p>
            <w:r>
              <w:rPr>
                <w:sz w:val="19"/>
              </w:rPr>
              <w:t>50%</w:t>
            </w:r>
          </w:p>
        </w:tc>
        <w:tc>
          <w:tcPr>
            <w:tcW w:type="dxa" w:w="2266"/>
            <w:shd w:val="clear" w:color="auto" w:fill="F5F7FC"/>
          </w:tcPr>
          <w:p>
            <w:r>
              <w:rPr>
                <w:sz w:val="19"/>
              </w:rPr>
              <w:t>50%</w:t>
            </w:r>
          </w:p>
        </w:tc>
        <w:tc>
          <w:tcPr>
            <w:tcW w:type="dxa" w:w="2266"/>
            <w:shd w:val="clear" w:color="auto" w:fill="F5F7FC"/>
          </w:tcPr>
          <w:p>
            <w:r>
              <w:rPr>
                <w:sz w:val="19"/>
              </w:rPr>
              <w:t>50%</w:t>
            </w:r>
          </w:p>
        </w:tc>
      </w:tr>
      <w:tr>
        <w:tc>
          <w:tcPr>
            <w:tcW w:type="dxa" w:w="2266"/>
            <w:shd w:val="clear" w:color="auto" w:fill="FFFFFF"/>
          </w:tcPr>
          <w:p>
            <w:r>
              <w:rPr>
                <w:sz w:val="19"/>
              </w:rPr>
              <w:t>P(intervention causes harm)</w:t>
            </w:r>
          </w:p>
        </w:tc>
        <w:tc>
          <w:tcPr>
            <w:tcW w:type="dxa" w:w="2266"/>
            <w:shd w:val="clear" w:color="auto" w:fill="FFFFFF"/>
          </w:tcPr>
          <w:p>
            <w:r>
              <w:rPr>
                <w:sz w:val="19"/>
              </w:rPr>
              <w:t>5%</w:t>
            </w:r>
          </w:p>
        </w:tc>
        <w:tc>
          <w:tcPr>
            <w:tcW w:type="dxa" w:w="2266"/>
            <w:shd w:val="clear" w:color="auto" w:fill="FFFFFF"/>
          </w:tcPr>
          <w:p>
            <w:r>
              <w:rPr>
                <w:sz w:val="19"/>
              </w:rPr>
              <w:t>5%</w:t>
            </w:r>
          </w:p>
        </w:tc>
        <w:tc>
          <w:tcPr>
            <w:tcW w:type="dxa" w:w="2266"/>
            <w:shd w:val="clear" w:color="auto" w:fill="FFFFFF"/>
          </w:tcPr>
          <w:p>
            <w:r>
              <w:rPr>
                <w:sz w:val="19"/>
              </w:rPr>
              <w:t>15%</w:t>
            </w:r>
          </w:p>
        </w:tc>
      </w:tr>
      <w:tr>
        <w:tc>
          <w:tcPr>
            <w:tcW w:type="dxa" w:w="2266"/>
            <w:shd w:val="clear" w:color="auto" w:fill="F5F7FC"/>
          </w:tcPr>
          <w:p>
            <w:r>
              <w:rPr>
                <w:sz w:val="19"/>
              </w:rPr>
              <w:t>Models sub-extinction events?</w:t>
            </w:r>
          </w:p>
        </w:tc>
        <w:tc>
          <w:tcPr>
            <w:tcW w:type="dxa" w:w="2266"/>
            <w:shd w:val="clear" w:color="auto" w:fill="F5F7FC"/>
          </w:tcPr>
          <w:p>
            <w:r>
              <w:rPr>
                <w:sz w:val="19"/>
              </w:rPr>
              <w:t>Yes (2 tiers)</w:t>
            </w:r>
          </w:p>
        </w:tc>
        <w:tc>
          <w:tcPr>
            <w:tcW w:type="dxa" w:w="2266"/>
            <w:shd w:val="clear" w:color="auto" w:fill="F5F7FC"/>
          </w:tcPr>
          <w:p>
            <w:r>
              <w:rPr>
                <w:sz w:val="19"/>
              </w:rPr>
              <w:t>No</w:t>
            </w:r>
          </w:p>
        </w:tc>
        <w:tc>
          <w:tcPr>
            <w:tcW w:type="dxa" w:w="2266"/>
            <w:shd w:val="clear" w:color="auto" w:fill="F5F7FC"/>
          </w:tcPr>
          <w:p>
            <w:r>
              <w:rPr>
                <w:sz w:val="19"/>
              </w:rPr>
              <w:t>No</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